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BB" w:rsidRPr="005C0ABB" w:rsidRDefault="005C0ABB" w:rsidP="005C0ABB">
      <w:pPr>
        <w:spacing w:after="0" w:line="240" w:lineRule="auto"/>
        <w:rPr>
          <w:rFonts w:ascii="Times New Roman" w:eastAsia="Times New Roman" w:hAnsi="Times New Roman" w:cs="Times New Roman"/>
          <w:sz w:val="24"/>
          <w:szCs w:val="24"/>
          <w:lang w:eastAsia="pl-PL"/>
        </w:rPr>
      </w:pPr>
      <w:bookmarkStart w:id="0" w:name="_GoBack"/>
      <w:bookmarkEnd w:id="0"/>
      <w:r w:rsidRPr="005C0ABB">
        <w:rPr>
          <w:rFonts w:ascii="Times New Roman" w:eastAsia="Times New Roman" w:hAnsi="Times New Roman" w:cs="Times New Roman"/>
          <w:sz w:val="24"/>
          <w:szCs w:val="24"/>
          <w:lang w:eastAsia="pl-PL"/>
        </w:rPr>
        <w:t xml:space="preserve">ROZPORZĄDZENIE MINISTRA ZDROWIA </w:t>
      </w:r>
      <w:bookmarkStart w:id="1" w:name="ftnref1"/>
      <w:r w:rsidRPr="005C0ABB">
        <w:rPr>
          <w:rFonts w:ascii="Times New Roman" w:eastAsia="Times New Roman" w:hAnsi="Times New Roman" w:cs="Times New Roman"/>
          <w:sz w:val="24"/>
          <w:szCs w:val="24"/>
          <w:vertAlign w:val="superscript"/>
          <w:lang w:eastAsia="pl-PL"/>
        </w:rPr>
        <w:fldChar w:fldCharType="begin"/>
      </w:r>
      <w:r w:rsidRPr="005C0ABB">
        <w:rPr>
          <w:rFonts w:ascii="Times New Roman" w:eastAsia="Times New Roman" w:hAnsi="Times New Roman" w:cs="Times New Roman"/>
          <w:sz w:val="24"/>
          <w:szCs w:val="24"/>
          <w:vertAlign w:val="superscript"/>
          <w:lang w:eastAsia="pl-PL"/>
        </w:rPr>
        <w:instrText xml:space="preserve"> HYPERLINK "http://prawo.legeo.pl/prawo/rozporzadzenie-ministra-zdrowia-z-dnia-11-wrzesnia-2006-r-w-sprawie-srodkow-odurzajacych-substancji-psychotropowych-prekursorow-kategorii-1-i-preparatow-zawierajacych-te-srodki-lub-substancje/?on=13.02.2011" \l "ftn1" </w:instrText>
      </w:r>
      <w:r w:rsidRPr="005C0ABB">
        <w:rPr>
          <w:rFonts w:ascii="Times New Roman" w:eastAsia="Times New Roman" w:hAnsi="Times New Roman" w:cs="Times New Roman"/>
          <w:sz w:val="24"/>
          <w:szCs w:val="24"/>
          <w:vertAlign w:val="superscript"/>
          <w:lang w:eastAsia="pl-PL"/>
        </w:rPr>
        <w:fldChar w:fldCharType="separate"/>
      </w:r>
      <w:r w:rsidRPr="005C0ABB">
        <w:rPr>
          <w:rFonts w:ascii="Times New Roman" w:eastAsia="Times New Roman" w:hAnsi="Times New Roman" w:cs="Times New Roman"/>
          <w:color w:val="0000FF"/>
          <w:sz w:val="24"/>
          <w:szCs w:val="24"/>
          <w:u w:val="single"/>
          <w:vertAlign w:val="superscript"/>
          <w:lang w:eastAsia="pl-PL"/>
        </w:rPr>
        <w:t>1)</w:t>
      </w:r>
      <w:r w:rsidRPr="005C0ABB">
        <w:rPr>
          <w:rFonts w:ascii="Times New Roman" w:eastAsia="Times New Roman" w:hAnsi="Times New Roman" w:cs="Times New Roman"/>
          <w:sz w:val="24"/>
          <w:szCs w:val="24"/>
          <w:vertAlign w:val="superscript"/>
          <w:lang w:eastAsia="pl-PL"/>
        </w:rPr>
        <w:fldChar w:fldCharType="end"/>
      </w:r>
      <w:bookmarkEnd w:id="1"/>
      <w:r w:rsidRPr="005C0ABB">
        <w:rPr>
          <w:rFonts w:ascii="Times New Roman" w:eastAsia="Times New Roman" w:hAnsi="Times New Roman" w:cs="Times New Roman"/>
          <w:sz w:val="24"/>
          <w:szCs w:val="24"/>
          <w:lang w:eastAsia="pl-PL"/>
        </w:rPr>
        <w:t xml:space="preserve"> z dnia 11 września 2006 r. w sprawie środków odurzających, substancji psychotropowych, prekursorów kategorii 1 i preparatów zawierających te środki lub substancje </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Na podstawie </w:t>
      </w:r>
      <w:hyperlink r:id="rId5" w:anchor="art:41_ust:5" w:tooltip="Ustawa o przeciwdziałaniu narkomanii" w:history="1">
        <w:r w:rsidRPr="005C0ABB">
          <w:rPr>
            <w:rFonts w:ascii="Times New Roman" w:eastAsia="Times New Roman" w:hAnsi="Times New Roman" w:cs="Times New Roman"/>
            <w:color w:val="0000FF"/>
            <w:sz w:val="24"/>
            <w:szCs w:val="24"/>
            <w:u w:val="single"/>
            <w:lang w:eastAsia="pl-PL"/>
          </w:rPr>
          <w:t>art. 41</w:t>
        </w:r>
      </w:hyperlink>
      <w:r w:rsidRPr="005C0ABB">
        <w:rPr>
          <w:rFonts w:ascii="Times New Roman" w:eastAsia="Times New Roman" w:hAnsi="Times New Roman" w:cs="Times New Roman"/>
          <w:sz w:val="24"/>
          <w:szCs w:val="24"/>
          <w:lang w:eastAsia="pl-PL"/>
        </w:rPr>
        <w:t xml:space="preserve"> ust. 5 ustawy z dnia 29 lipca 2005 r. o przeciwdziałaniu narkomanii (Dz. U. Nr 179, poz. 1485 oraz z 2006 r. Nr 66, poz. 469 i Nr 120, poz. 862) zarządza się, co następuje:</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1.</w:t>
      </w:r>
      <w:r w:rsidRPr="005C0ABB">
        <w:rPr>
          <w:rFonts w:ascii="Times New Roman" w:eastAsia="Times New Roman" w:hAnsi="Times New Roman" w:cs="Times New Roman"/>
          <w:sz w:val="24"/>
          <w:szCs w:val="24"/>
          <w:lang w:eastAsia="pl-PL"/>
        </w:rPr>
        <w:t xml:space="preserve"> Rozporządzenie określa: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1) szczegółowe warunki przechowywania przez apteki środków odurzających, substancji psychotropowych, prekursorów kategorii 1 i preparatów zawierających te środki lub substancje oraz sposób prowadzenia dokumentacji w zakresie ich posiadania i obrotu;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2) szczegółowe warunki wystawiania recept i </w:t>
      </w:r>
      <w:proofErr w:type="spellStart"/>
      <w:r w:rsidRPr="005C0ABB">
        <w:rPr>
          <w:rFonts w:ascii="Times New Roman" w:eastAsia="Times New Roman" w:hAnsi="Times New Roman" w:cs="Times New Roman"/>
          <w:sz w:val="24"/>
          <w:szCs w:val="24"/>
          <w:lang w:eastAsia="pl-PL"/>
        </w:rPr>
        <w:t>zapotrzebowań</w:t>
      </w:r>
      <w:proofErr w:type="spellEnd"/>
      <w:r w:rsidRPr="005C0ABB">
        <w:rPr>
          <w:rFonts w:ascii="Times New Roman" w:eastAsia="Times New Roman" w:hAnsi="Times New Roman" w:cs="Times New Roman"/>
          <w:sz w:val="24"/>
          <w:szCs w:val="24"/>
          <w:lang w:eastAsia="pl-PL"/>
        </w:rPr>
        <w:t xml:space="preserve"> na preparaty zawierające środki odurzające lub substancje psychotropowe, wzory tych dokumentów oraz warunki wydawania tych preparatów z aptek.</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2.</w:t>
      </w:r>
      <w:r w:rsidRPr="005C0ABB">
        <w:rPr>
          <w:rFonts w:ascii="Times New Roman" w:eastAsia="Times New Roman" w:hAnsi="Times New Roman" w:cs="Times New Roman"/>
          <w:sz w:val="24"/>
          <w:szCs w:val="24"/>
          <w:lang w:eastAsia="pl-PL"/>
        </w:rPr>
        <w:t xml:space="preserve"> 1. Środki odurzające, substancje psychotropowe, preparaty zawierające te środki lub substancje oraz </w:t>
      </w:r>
      <w:proofErr w:type="spellStart"/>
      <w:r w:rsidRPr="005C0ABB">
        <w:rPr>
          <w:rFonts w:ascii="Times New Roman" w:eastAsia="Times New Roman" w:hAnsi="Times New Roman" w:cs="Times New Roman"/>
          <w:sz w:val="24"/>
          <w:szCs w:val="24"/>
          <w:lang w:eastAsia="pl-PL"/>
        </w:rPr>
        <w:t>prekursory</w:t>
      </w:r>
      <w:proofErr w:type="spellEnd"/>
      <w:r w:rsidRPr="005C0ABB">
        <w:rPr>
          <w:rFonts w:ascii="Times New Roman" w:eastAsia="Times New Roman" w:hAnsi="Times New Roman" w:cs="Times New Roman"/>
          <w:sz w:val="24"/>
          <w:szCs w:val="24"/>
          <w:lang w:eastAsia="pl-PL"/>
        </w:rPr>
        <w:t xml:space="preserve"> kategorii 1 przechowywane są w aptece, z uwzględnieniem ust. 2, w sposób zabezpieczający je przed kradzieżą, podmianą oraz zniszczeniem.</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Środki odurzające grup I-N i II-N, substancje psychotropowe grupy II-P oraz preparaty zawierające te środki lub substancje należy przechowywać w odpowiednio zabezpieczonych pomieszczeniach, w zamkniętych metalowych szafach lub kasetach przymocowanych w sposób trwały do ścian lub podłóg pomieszczenia, w miejscu niedostępnym dla pacjentów.</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3.</w:t>
      </w:r>
      <w:r w:rsidRPr="005C0ABB">
        <w:rPr>
          <w:rFonts w:ascii="Times New Roman" w:eastAsia="Times New Roman" w:hAnsi="Times New Roman" w:cs="Times New Roman"/>
          <w:sz w:val="24"/>
          <w:szCs w:val="24"/>
          <w:lang w:eastAsia="pl-PL"/>
        </w:rPr>
        <w:t xml:space="preserve"> 1. Apteka prowadząca obrót środkami odurzającymi, substancjami psychotropowymi, preparatami zawierającymi te środki lub substancje oraz prekursorami kategorii 1 jest obowiązana do prowadzenia ewidencji przychodu i rozchodu tych środków, substancji, preparatów oraz prekursorów kategorii 1.</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Ewidencja przychodu i rozchodu środków odurzających grupy I-N i substancji psychotropowych grupy II-P oraz preparatów zawierających te środki i substancje jest prowadzona w formie książki kontroli, która zawiera: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1) na stronie tytułowej — nazwę i dokładny adres apteki, numer i datę wydania zezwolenia, kolejny numer książki oraz określenie organu zezwalającego;</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na kolejno ponumerowanych stronach — odrębnie dla każdego środka odurzającego lub substancji psychotropowej, dla każdej ich postaci farmaceutycznej i dawki:</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a) w odniesieniu do przychodu: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liczbę porządkową,</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datę zakupu,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numer dowodu zakupu,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lastRenderedPageBreak/>
        <w:t>— </w:t>
      </w:r>
      <w:proofErr w:type="spellStart"/>
      <w:r w:rsidRPr="005C0ABB">
        <w:rPr>
          <w:rFonts w:ascii="Times New Roman" w:eastAsia="Times New Roman" w:hAnsi="Times New Roman" w:cs="Times New Roman"/>
          <w:sz w:val="24"/>
          <w:szCs w:val="24"/>
          <w:lang w:eastAsia="pl-PL"/>
        </w:rPr>
        <w:t>IIość</w:t>
      </w:r>
      <w:proofErr w:type="spellEnd"/>
      <w:r w:rsidRPr="005C0ABB">
        <w:rPr>
          <w:rFonts w:ascii="Times New Roman" w:eastAsia="Times New Roman" w:hAnsi="Times New Roman" w:cs="Times New Roman"/>
          <w:sz w:val="24"/>
          <w:szCs w:val="24"/>
          <w:lang w:eastAsia="pl-PL"/>
        </w:rPr>
        <w:t xml:space="preserve"> zakupioną, wyrażoną w gramach lub sztukach,</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b) w odniesieniu do rozchodu: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liczbę porządkową,</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datę wydania,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receptę lub zapotrzebowanie stanowiące podstawę wydania,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imię nazwisko i numer lekarza wystawiającego receptę lub zapotrzebowanie,</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imię i nazwisko pacjenta lub oznaczenie jednostki składającej zapotrzebowanie,</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w:t>
      </w:r>
      <w:proofErr w:type="spellStart"/>
      <w:r w:rsidRPr="005C0ABB">
        <w:rPr>
          <w:rFonts w:ascii="Times New Roman" w:eastAsia="Times New Roman" w:hAnsi="Times New Roman" w:cs="Times New Roman"/>
          <w:sz w:val="24"/>
          <w:szCs w:val="24"/>
          <w:lang w:eastAsia="pl-PL"/>
        </w:rPr>
        <w:t>IIość</w:t>
      </w:r>
      <w:proofErr w:type="spellEnd"/>
      <w:r w:rsidRPr="005C0ABB">
        <w:rPr>
          <w:rFonts w:ascii="Times New Roman" w:eastAsia="Times New Roman" w:hAnsi="Times New Roman" w:cs="Times New Roman"/>
          <w:sz w:val="24"/>
          <w:szCs w:val="24"/>
          <w:lang w:eastAsia="pl-PL"/>
        </w:rPr>
        <w:t xml:space="preserve"> wydaną, wyrażoną w gramach lub sztukach,</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c) stan magazynowy po dostarczeniu lub wydaniu,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d) ewentualne uwagi.</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3.  Po wypełnieniu strony tytułowej, zgodnie z ust. 2, kierownik apteki przedstawia książkę kontroli wojewódzkiemu inspektorowi farmaceutycznemu celem zatwierdzenia, poprzez przesznurowanie i opieczętowanie, oraz zarejestrowania.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4.  Książkę kontroli przechowuje się przez okres 5 lat, liczony od pierwszego dnia roku kalendarzowego następującego po roku, w którym dokonano ostatniego wpisu.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5. Ewidencja, o której mowa w ust. 2, może być prowadzona w formie elektronicznej, pod warunkiem zastosowania systemu komputerowego gwarantującego, iż żadne zapisy dotyczące stanów i ruchów magazynowych nie będą usuwane, a korekty zapisów będą dokonywane za pomocą dokumentów korygujących, opatrzonych czytelnym podpisem i danymi osoby dokonującej korekty, celem zapewnienia pełnej kontroli dokonywanych operacji. W takim przypadku należy zachować zakres danych zgodny z układem książki kontroli, o której mowa w ust. 2, oraz dokonywać, co dwa tygodnie, wydruku prowadzonej ewidencji. Podpisane przez kierownika apteki wydruki obejmujące dany rok kalendarzowy powinny być kolejno ponumerowane i przechowywane przez okres 5 lat, liczony od pierwszego dnia roku kalendarzowego następującego po roku, w którym dokonano ostatniego wpisu.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6. O fakcie prowadzenia ewidencji środków odurzających grupy I-N oraz substancji psychotropowych grupy II-P w formie elektronicznej kierownik apteki zawiadamia na piśmie wojewódzkiego inspektora farmaceutycznego właściwego do miejsca wykonywania działalności, w terminie 7 dni od dokonania pierwszego obrotu, który będzie ewidencjonowany w formie elektronicznej.</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7. Ewidencja przychodu i rozchodu środków odurzających grupy II-N, substancji psychotropowych grup III-P i IV-P oraz prekursorów kategorii 1 jest prowadzona w postaci comiesięcznych zestawień, zawierających:</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1) międzynarodową nazwę zalecaną i nazwę handlową, jeżeli taka istnieje, dawkę, postać farmaceutyczną i wielkość opakowania;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lastRenderedPageBreak/>
        <w:t>2) stan magazynowy na początku danego miesiąca;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3) łączny przychód w ciągu danego miesiąca z podaniem </w:t>
      </w:r>
      <w:proofErr w:type="spellStart"/>
      <w:r w:rsidRPr="005C0ABB">
        <w:rPr>
          <w:rFonts w:ascii="Times New Roman" w:eastAsia="Times New Roman" w:hAnsi="Times New Roman" w:cs="Times New Roman"/>
          <w:sz w:val="24"/>
          <w:szCs w:val="24"/>
          <w:lang w:eastAsia="pl-PL"/>
        </w:rPr>
        <w:t>IIości</w:t>
      </w:r>
      <w:proofErr w:type="spellEnd"/>
      <w:r w:rsidRPr="005C0ABB">
        <w:rPr>
          <w:rFonts w:ascii="Times New Roman" w:eastAsia="Times New Roman" w:hAnsi="Times New Roman" w:cs="Times New Roman"/>
          <w:sz w:val="24"/>
          <w:szCs w:val="24"/>
          <w:lang w:eastAsia="pl-PL"/>
        </w:rPr>
        <w:t xml:space="preserve"> preparatu;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4) łączny rozchód w ciągu danego miesiąca z podaniem </w:t>
      </w:r>
      <w:proofErr w:type="spellStart"/>
      <w:r w:rsidRPr="005C0ABB">
        <w:rPr>
          <w:rFonts w:ascii="Times New Roman" w:eastAsia="Times New Roman" w:hAnsi="Times New Roman" w:cs="Times New Roman"/>
          <w:sz w:val="24"/>
          <w:szCs w:val="24"/>
          <w:lang w:eastAsia="pl-PL"/>
        </w:rPr>
        <w:t>IIości</w:t>
      </w:r>
      <w:proofErr w:type="spellEnd"/>
      <w:r w:rsidRPr="005C0ABB">
        <w:rPr>
          <w:rFonts w:ascii="Times New Roman" w:eastAsia="Times New Roman" w:hAnsi="Times New Roman" w:cs="Times New Roman"/>
          <w:sz w:val="24"/>
          <w:szCs w:val="24"/>
          <w:lang w:eastAsia="pl-PL"/>
        </w:rPr>
        <w:t xml:space="preserve"> preparatu i </w:t>
      </w:r>
      <w:proofErr w:type="spellStart"/>
      <w:r w:rsidRPr="005C0ABB">
        <w:rPr>
          <w:rFonts w:ascii="Times New Roman" w:eastAsia="Times New Roman" w:hAnsi="Times New Roman" w:cs="Times New Roman"/>
          <w:sz w:val="24"/>
          <w:szCs w:val="24"/>
          <w:lang w:eastAsia="pl-PL"/>
        </w:rPr>
        <w:t>IIości</w:t>
      </w:r>
      <w:proofErr w:type="spellEnd"/>
      <w:r w:rsidRPr="005C0ABB">
        <w:rPr>
          <w:rFonts w:ascii="Times New Roman" w:eastAsia="Times New Roman" w:hAnsi="Times New Roman" w:cs="Times New Roman"/>
          <w:sz w:val="24"/>
          <w:szCs w:val="24"/>
          <w:lang w:eastAsia="pl-PL"/>
        </w:rPr>
        <w:t xml:space="preserve"> recept lub </w:t>
      </w:r>
      <w:proofErr w:type="spellStart"/>
      <w:r w:rsidRPr="005C0ABB">
        <w:rPr>
          <w:rFonts w:ascii="Times New Roman" w:eastAsia="Times New Roman" w:hAnsi="Times New Roman" w:cs="Times New Roman"/>
          <w:sz w:val="24"/>
          <w:szCs w:val="24"/>
          <w:lang w:eastAsia="pl-PL"/>
        </w:rPr>
        <w:t>zapotrzebowań</w:t>
      </w:r>
      <w:proofErr w:type="spellEnd"/>
      <w:r w:rsidRPr="005C0ABB">
        <w:rPr>
          <w:rFonts w:ascii="Times New Roman" w:eastAsia="Times New Roman" w:hAnsi="Times New Roman" w:cs="Times New Roman"/>
          <w:sz w:val="24"/>
          <w:szCs w:val="24"/>
          <w:lang w:eastAsia="pl-PL"/>
        </w:rPr>
        <w:t>;</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5) stan magazynowy na koniec danego miesiąca.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8. Ewidencja, o której mowa w ust. 7, może być prowadzona w formie elektronicznej, pod warunkiem zastosowania systemu komputerowego gwarantującego, iż żadne zapisy dotyczące stanów i ruchów magazynowych nie będą usuwane, a korekty zapisów będą dokonywane za pomocą dokumentów korygujących, opatrzonych czytelnym podpisem i danymi osoby dokonującej korekty, celem zapewnienia pełnej kontroli dokonywanych operacji. W takim przypadku należy zachować zakres danych zgodny z układem ewidencji oraz dokonywać, raz w miesiącu, wydruku prowadzonego zestawienia. Podpisane przez kierownika apteki wydruki obejmujące dany rok kalendarzowy powinny być kolejno ponumerowane i przechowywane przez okres 5 lat, liczony od pierwszego dnia roku kalendarzowego następującego po roku, w którym dokonano ostatniego wpisu.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9.  Prowadzenie ewidencji, o których mowa w ust. 1, należy do obowiązków kierownika apteki.</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10. Kierownik apteki może upoważnić do prowadzenia ewidencji zatrudnionego w aptece farmaceutę posiadającego co najmniej 2-letni staż pracy w aptece. Farmaceuta ten musi wyrazić pisemnie zgodę na przejęcie obowiązków.</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11. Kierownik apteki na czas nieobecności spowodowanej urlopem lub chorobą może wyznaczyć farmaceutę upoważnionego do prowadzenia ewidencji. Farmaceuta ten musi spełniać wymagania przewidziane dla osoby upoważnionej do prowadzenia ewidencji oraz wyrazić pisemnie zgodę na przejęcie obowiązków.</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4.</w:t>
      </w:r>
      <w:r w:rsidRPr="005C0ABB">
        <w:rPr>
          <w:rFonts w:ascii="Times New Roman" w:eastAsia="Times New Roman" w:hAnsi="Times New Roman" w:cs="Times New Roman"/>
          <w:sz w:val="24"/>
          <w:szCs w:val="24"/>
          <w:lang w:eastAsia="pl-PL"/>
        </w:rPr>
        <w:t xml:space="preserve"> 1. Z apteki na podstawie recept innych niż specjalnie oznakowane albo </w:t>
      </w:r>
      <w:proofErr w:type="spellStart"/>
      <w:r w:rsidRPr="005C0ABB">
        <w:rPr>
          <w:rFonts w:ascii="Times New Roman" w:eastAsia="Times New Roman" w:hAnsi="Times New Roman" w:cs="Times New Roman"/>
          <w:sz w:val="24"/>
          <w:szCs w:val="24"/>
          <w:lang w:eastAsia="pl-PL"/>
        </w:rPr>
        <w:t>zapotrzebowań</w:t>
      </w:r>
      <w:proofErr w:type="spellEnd"/>
      <w:r w:rsidRPr="005C0ABB">
        <w:rPr>
          <w:rFonts w:ascii="Times New Roman" w:eastAsia="Times New Roman" w:hAnsi="Times New Roman" w:cs="Times New Roman"/>
          <w:sz w:val="24"/>
          <w:szCs w:val="24"/>
          <w:lang w:eastAsia="pl-PL"/>
        </w:rPr>
        <w:t xml:space="preserve"> mogą być wydawane preparaty zawierające:</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1) środki odurzające grupy II-N;</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substancje psychotropowe grup III-P i IV-P.</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Z apteki mogą być wydawane bez recepty preparaty zawierające środki odurzające grupy III-Ń, posiadające kategorię dostępności: produkty lecznicze wydawane bez recepty.</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5.</w:t>
      </w:r>
      <w:r w:rsidRPr="005C0ABB">
        <w:rPr>
          <w:rFonts w:ascii="Times New Roman" w:eastAsia="Times New Roman" w:hAnsi="Times New Roman" w:cs="Times New Roman"/>
          <w:sz w:val="24"/>
          <w:szCs w:val="24"/>
          <w:lang w:eastAsia="pl-PL"/>
        </w:rPr>
        <w:t xml:space="preserve"> 1. Recepty na preparaty zawierające środki odurzające, substancje psychotropowe lub </w:t>
      </w:r>
      <w:proofErr w:type="spellStart"/>
      <w:r w:rsidRPr="005C0ABB">
        <w:rPr>
          <w:rFonts w:ascii="Times New Roman" w:eastAsia="Times New Roman" w:hAnsi="Times New Roman" w:cs="Times New Roman"/>
          <w:sz w:val="24"/>
          <w:szCs w:val="24"/>
          <w:lang w:eastAsia="pl-PL"/>
        </w:rPr>
        <w:t>prekursory</w:t>
      </w:r>
      <w:proofErr w:type="spellEnd"/>
      <w:r w:rsidRPr="005C0ABB">
        <w:rPr>
          <w:rFonts w:ascii="Times New Roman" w:eastAsia="Times New Roman" w:hAnsi="Times New Roman" w:cs="Times New Roman"/>
          <w:sz w:val="24"/>
          <w:szCs w:val="24"/>
          <w:lang w:eastAsia="pl-PL"/>
        </w:rPr>
        <w:t xml:space="preserve"> kategorii 1 wystawiane są zgodnie z przepisami wydanymi na podstawie </w:t>
      </w:r>
      <w:hyperlink r:id="rId6" w:anchor="art:45_ust:3" w:tooltip="Ustawa o zawodzie lekarza" w:history="1">
        <w:r w:rsidRPr="005C0ABB">
          <w:rPr>
            <w:rFonts w:ascii="Times New Roman" w:eastAsia="Times New Roman" w:hAnsi="Times New Roman" w:cs="Times New Roman"/>
            <w:color w:val="0000FF"/>
            <w:sz w:val="24"/>
            <w:szCs w:val="24"/>
            <w:u w:val="single"/>
            <w:lang w:eastAsia="pl-PL"/>
          </w:rPr>
          <w:t>art. 45</w:t>
        </w:r>
      </w:hyperlink>
      <w:r w:rsidRPr="005C0ABB">
        <w:rPr>
          <w:rFonts w:ascii="Times New Roman" w:eastAsia="Times New Roman" w:hAnsi="Times New Roman" w:cs="Times New Roman"/>
          <w:sz w:val="24"/>
          <w:szCs w:val="24"/>
          <w:lang w:eastAsia="pl-PL"/>
        </w:rPr>
        <w:t xml:space="preserve"> ust. 3 ustawy z dnia 5 grudnia 1996 r. o zawodach lekarza i lekarza dentysty (Dz. U. z 2005 r. Nr 226, poz. 1943 oraz z 2006 r. Nr 117, poz. 790).</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1a. Recepty na preparaty zawierające środki odurzające, substancje psychotropowe lub </w:t>
      </w:r>
      <w:proofErr w:type="spellStart"/>
      <w:r w:rsidRPr="005C0ABB">
        <w:rPr>
          <w:rFonts w:ascii="Times New Roman" w:eastAsia="Times New Roman" w:hAnsi="Times New Roman" w:cs="Times New Roman"/>
          <w:sz w:val="24"/>
          <w:szCs w:val="24"/>
          <w:lang w:eastAsia="pl-PL"/>
        </w:rPr>
        <w:t>prekursory</w:t>
      </w:r>
      <w:proofErr w:type="spellEnd"/>
      <w:r w:rsidRPr="005C0ABB">
        <w:rPr>
          <w:rFonts w:ascii="Times New Roman" w:eastAsia="Times New Roman" w:hAnsi="Times New Roman" w:cs="Times New Roman"/>
          <w:sz w:val="24"/>
          <w:szCs w:val="24"/>
          <w:lang w:eastAsia="pl-PL"/>
        </w:rPr>
        <w:t xml:space="preserve"> kategorii 1, które będą stosowane u zwierząt, wystawiane są zgodnie z przepisami wydanymi na podstawie </w:t>
      </w:r>
      <w:hyperlink r:id="rId7" w:anchor="art:69" w:tooltip="Ustawa o zawodzie lekarza weterynarii i izbach lekarsko-weterynaryjnych" w:history="1">
        <w:r w:rsidRPr="005C0ABB">
          <w:rPr>
            <w:rFonts w:ascii="Times New Roman" w:eastAsia="Times New Roman" w:hAnsi="Times New Roman" w:cs="Times New Roman"/>
            <w:color w:val="0000FF"/>
            <w:sz w:val="24"/>
            <w:szCs w:val="24"/>
            <w:u w:val="single"/>
            <w:lang w:eastAsia="pl-PL"/>
          </w:rPr>
          <w:t>art. 69</w:t>
        </w:r>
      </w:hyperlink>
      <w:r w:rsidRPr="005C0ABB">
        <w:rPr>
          <w:rFonts w:ascii="Times New Roman" w:eastAsia="Times New Roman" w:hAnsi="Times New Roman" w:cs="Times New Roman"/>
          <w:sz w:val="24"/>
          <w:szCs w:val="24"/>
          <w:lang w:eastAsia="pl-PL"/>
        </w:rPr>
        <w:t xml:space="preserve"> ustawy z dnia 21 grudnia 1990 r. o zawodzie lekarza </w:t>
      </w:r>
      <w:r w:rsidRPr="005C0ABB">
        <w:rPr>
          <w:rFonts w:ascii="Times New Roman" w:eastAsia="Times New Roman" w:hAnsi="Times New Roman" w:cs="Times New Roman"/>
          <w:sz w:val="24"/>
          <w:szCs w:val="24"/>
          <w:lang w:eastAsia="pl-PL"/>
        </w:rPr>
        <w:lastRenderedPageBreak/>
        <w:t>weterynarii i izbach lekarsko-weterynaryjnych (Dz. U. z 2009 r. Nr 93, poz. 767 oraz z 2010 r. Nr 200, poz. 1326).</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2. Wzór zapotrzebowania na preparaty zawierające środki odurzające lub substancje psychotropowe dla podmiotów uprawnionych do ich posiadania bądź stosowania na podstawie przepisów </w:t>
      </w:r>
      <w:hyperlink r:id="rId8" w:tooltip="Ustawa o przeciwdziałaniu narkomanii" w:history="1">
        <w:r w:rsidRPr="005C0ABB">
          <w:rPr>
            <w:rFonts w:ascii="Times New Roman" w:eastAsia="Times New Roman" w:hAnsi="Times New Roman" w:cs="Times New Roman"/>
            <w:color w:val="0000FF"/>
            <w:sz w:val="24"/>
            <w:szCs w:val="24"/>
            <w:u w:val="single"/>
            <w:lang w:eastAsia="pl-PL"/>
          </w:rPr>
          <w:t>ustawy</w:t>
        </w:r>
      </w:hyperlink>
      <w:r w:rsidRPr="005C0ABB">
        <w:rPr>
          <w:rFonts w:ascii="Times New Roman" w:eastAsia="Times New Roman" w:hAnsi="Times New Roman" w:cs="Times New Roman"/>
          <w:sz w:val="24"/>
          <w:szCs w:val="24"/>
          <w:lang w:eastAsia="pl-PL"/>
        </w:rPr>
        <w:t xml:space="preserve"> z dnia 29 lipca 2005 r. o przeciwdziałaniu narkomanii stanowi załącznik do rozporządzenia.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6.</w:t>
      </w:r>
      <w:r w:rsidRPr="005C0ABB">
        <w:rPr>
          <w:rFonts w:ascii="Times New Roman" w:eastAsia="Times New Roman" w:hAnsi="Times New Roman" w:cs="Times New Roman"/>
          <w:sz w:val="24"/>
          <w:szCs w:val="24"/>
          <w:lang w:eastAsia="pl-PL"/>
        </w:rPr>
        <w:t xml:space="preserve"> 1. Recepta wystawiona na preparaty zawierające środki odurzające lub substancje psychotropowe zawiera oprócz danych określonych w przepisach wydanych na podstawie </w:t>
      </w:r>
      <w:hyperlink r:id="rId9" w:tooltip="Ustawa o zawodzie lekarza" w:history="1">
        <w:r w:rsidRPr="005C0ABB">
          <w:rPr>
            <w:rFonts w:ascii="Times New Roman" w:eastAsia="Times New Roman" w:hAnsi="Times New Roman" w:cs="Times New Roman"/>
            <w:color w:val="0000FF"/>
            <w:sz w:val="24"/>
            <w:szCs w:val="24"/>
            <w:u w:val="single"/>
            <w:lang w:eastAsia="pl-PL"/>
          </w:rPr>
          <w:t>ustawy</w:t>
        </w:r>
      </w:hyperlink>
      <w:r w:rsidRPr="005C0ABB">
        <w:rPr>
          <w:rFonts w:ascii="Times New Roman" w:eastAsia="Times New Roman" w:hAnsi="Times New Roman" w:cs="Times New Roman"/>
          <w:sz w:val="24"/>
          <w:szCs w:val="24"/>
          <w:lang w:eastAsia="pl-PL"/>
        </w:rPr>
        <w:t xml:space="preserve"> z dnia 5 grudnia 1996 r. o zawodach lekarza i lekarza dentysty również </w:t>
      </w:r>
      <w:proofErr w:type="spellStart"/>
      <w:r w:rsidRPr="005C0ABB">
        <w:rPr>
          <w:rFonts w:ascii="Times New Roman" w:eastAsia="Times New Roman" w:hAnsi="Times New Roman" w:cs="Times New Roman"/>
          <w:sz w:val="24"/>
          <w:szCs w:val="24"/>
          <w:lang w:eastAsia="pl-PL"/>
        </w:rPr>
        <w:t>IIość</w:t>
      </w:r>
      <w:proofErr w:type="spellEnd"/>
      <w:r w:rsidRPr="005C0ABB">
        <w:rPr>
          <w:rFonts w:ascii="Times New Roman" w:eastAsia="Times New Roman" w:hAnsi="Times New Roman" w:cs="Times New Roman"/>
          <w:sz w:val="24"/>
          <w:szCs w:val="24"/>
          <w:lang w:eastAsia="pl-PL"/>
        </w:rPr>
        <w:t xml:space="preserve"> środka odurzającego lub substancji psychotropowej wyrażoną dodatkowo słownie.</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Na jednej recepcie można przepisać tylko jeden preparat zawierający środki odurzające lub substancje psychotropowe; na recepcie tej nie można przepisywać innych produktów leczniczych.</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7.</w:t>
      </w:r>
      <w:r w:rsidRPr="005C0ABB">
        <w:rPr>
          <w:rFonts w:ascii="Times New Roman" w:eastAsia="Times New Roman" w:hAnsi="Times New Roman" w:cs="Times New Roman"/>
          <w:sz w:val="24"/>
          <w:szCs w:val="24"/>
          <w:lang w:eastAsia="pl-PL"/>
        </w:rPr>
        <w:t xml:space="preserve"> 1. Recepta wystawiona na preparaty zawierające środki odurzające grupy I-N oraz substancje psychotropowe grupy II-P, z zastrzeżeniem ust. 2, może dotyczyć takiej </w:t>
      </w:r>
      <w:proofErr w:type="spellStart"/>
      <w:r w:rsidRPr="005C0ABB">
        <w:rPr>
          <w:rFonts w:ascii="Times New Roman" w:eastAsia="Times New Roman" w:hAnsi="Times New Roman" w:cs="Times New Roman"/>
          <w:sz w:val="24"/>
          <w:szCs w:val="24"/>
          <w:lang w:eastAsia="pl-PL"/>
        </w:rPr>
        <w:t>IIości</w:t>
      </w:r>
      <w:proofErr w:type="spellEnd"/>
      <w:r w:rsidRPr="005C0ABB">
        <w:rPr>
          <w:rFonts w:ascii="Times New Roman" w:eastAsia="Times New Roman" w:hAnsi="Times New Roman" w:cs="Times New Roman"/>
          <w:sz w:val="24"/>
          <w:szCs w:val="24"/>
          <w:lang w:eastAsia="pl-PL"/>
        </w:rPr>
        <w:t xml:space="preserve"> środka lub substancji, która nie przekracza zapotrzebowania pacjenta na miesięczną kurację.</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Jeżeli przepisana dawka jednorazowa lub dobowa leku zawierającego w swoim składzie środki odurzające grupy I-N lub substancje psychotropowe grupy II-P przekracza dawkę maksymalną określoną w Farmakopei Europejskiej, Farmakopei Polskiej lub odpowiedniej farmakopei uznawanej w państwach członkowskich Unii Europejskiej albo w Charakterystyce Produktu Leczniczego, a także w przypadku, gdy dawki maksymalnej nie określa Farmakopea Europejska, Farmakopea Polska lub odpowiednia farmakopea uznawana w państwach członkowskich Unii Europejskiej albo Charakterystyka Produktu Leczniczego, osoba wystawiająca receptę zobowiązana jest obok przepisanej dawki postawić wykrzyknik i zapisać ją słownie oraz umieścić swój czytelny podpis i pieczęć.</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3. Na receptach, o których mowa w ust. 1 i 2, musi być podany szczegółowy sposób dawkowania przepisanych produktów leczniczych.</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4. Recepty wystawione na preparaty zawierające środki odurzające grupy I-N lub substancje psychotropowe grupy II-P, przeznaczone do stosowania wyłącznie u zwierząt, mogą dotyczyć tylko takiej </w:t>
      </w:r>
      <w:proofErr w:type="spellStart"/>
      <w:r w:rsidRPr="005C0ABB">
        <w:rPr>
          <w:rFonts w:ascii="Times New Roman" w:eastAsia="Times New Roman" w:hAnsi="Times New Roman" w:cs="Times New Roman"/>
          <w:sz w:val="24"/>
          <w:szCs w:val="24"/>
          <w:lang w:eastAsia="pl-PL"/>
        </w:rPr>
        <w:t>IIości</w:t>
      </w:r>
      <w:proofErr w:type="spellEnd"/>
      <w:r w:rsidRPr="005C0ABB">
        <w:rPr>
          <w:rFonts w:ascii="Times New Roman" w:eastAsia="Times New Roman" w:hAnsi="Times New Roman" w:cs="Times New Roman"/>
          <w:sz w:val="24"/>
          <w:szCs w:val="24"/>
          <w:lang w:eastAsia="pl-PL"/>
        </w:rPr>
        <w:t xml:space="preserve"> środka lub substancji, która nie przekracza 5-krotnej jednorazowej dawki stosowanej dla zwierzęcia.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8.</w:t>
      </w:r>
      <w:r w:rsidRPr="005C0ABB">
        <w:rPr>
          <w:rFonts w:ascii="Times New Roman" w:eastAsia="Times New Roman" w:hAnsi="Times New Roman" w:cs="Times New Roman"/>
          <w:sz w:val="24"/>
          <w:szCs w:val="24"/>
          <w:lang w:eastAsia="pl-PL"/>
        </w:rPr>
        <w:t xml:space="preserve"> Wystawienie recepty na preparat zawierający środek odurzający lub substancję psychotropową należy odnotować w dokumentacji medycznej pacjenta lub chorego zwierzęcia poprzez dokonanie w niej odpowiedniego wpisu.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9.</w:t>
      </w:r>
      <w:r w:rsidRPr="005C0ABB">
        <w:rPr>
          <w:rFonts w:ascii="Times New Roman" w:eastAsia="Times New Roman" w:hAnsi="Times New Roman" w:cs="Times New Roman"/>
          <w:sz w:val="24"/>
          <w:szCs w:val="24"/>
          <w:lang w:eastAsia="pl-PL"/>
        </w:rPr>
        <w:t xml:space="preserve"> Apteka wydaje preparaty zawierające środki odurzające lub substancje psychotropowe na podstawie recept lub </w:t>
      </w:r>
      <w:proofErr w:type="spellStart"/>
      <w:r w:rsidRPr="005C0ABB">
        <w:rPr>
          <w:rFonts w:ascii="Times New Roman" w:eastAsia="Times New Roman" w:hAnsi="Times New Roman" w:cs="Times New Roman"/>
          <w:sz w:val="24"/>
          <w:szCs w:val="24"/>
          <w:lang w:eastAsia="pl-PL"/>
        </w:rPr>
        <w:t>zapotrzebowań</w:t>
      </w:r>
      <w:proofErr w:type="spellEnd"/>
      <w:r w:rsidRPr="005C0ABB">
        <w:rPr>
          <w:rFonts w:ascii="Times New Roman" w:eastAsia="Times New Roman" w:hAnsi="Times New Roman" w:cs="Times New Roman"/>
          <w:sz w:val="24"/>
          <w:szCs w:val="24"/>
          <w:lang w:eastAsia="pl-PL"/>
        </w:rPr>
        <w:t>, o których mowa w § 5.</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10.</w:t>
      </w:r>
      <w:r w:rsidRPr="005C0ABB">
        <w:rPr>
          <w:rFonts w:ascii="Times New Roman" w:eastAsia="Times New Roman" w:hAnsi="Times New Roman" w:cs="Times New Roman"/>
          <w:sz w:val="24"/>
          <w:szCs w:val="24"/>
          <w:lang w:eastAsia="pl-PL"/>
        </w:rPr>
        <w:t xml:space="preserve"> 1. Recepty, na których przepisano preparaty zawierające środki odurzające grupy I-N lub substancje psychotropowe grupy II-P, są realizowane nie później niż w ciągu 14 dni od daty ich wystawienia, z uwzględnieniem ust. 2.</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lastRenderedPageBreak/>
        <w:t xml:space="preserve">2. Recepta wraz z zapotrzebowaniem na sprowadzenie z zagranicy produktów leczniczych, zawierających w swoim składzie środki odurzające lub substancje psychotropowe, nieposiadających pozwolenia na dopuszczenie do obrotu, niezbędnych dla ratowania życia lub zdrowia pacjentów realizowane są zgodnie z przepisami </w:t>
      </w:r>
      <w:hyperlink r:id="rId10" w:anchor="art:4" w:tooltip="Prawo farmaceutyczne" w:history="1">
        <w:r w:rsidRPr="005C0ABB">
          <w:rPr>
            <w:rFonts w:ascii="Times New Roman" w:eastAsia="Times New Roman" w:hAnsi="Times New Roman" w:cs="Times New Roman"/>
            <w:color w:val="0000FF"/>
            <w:sz w:val="24"/>
            <w:szCs w:val="24"/>
            <w:u w:val="single"/>
            <w:lang w:eastAsia="pl-PL"/>
          </w:rPr>
          <w:t>art. 4</w:t>
        </w:r>
      </w:hyperlink>
      <w:r w:rsidRPr="005C0ABB">
        <w:rPr>
          <w:rFonts w:ascii="Times New Roman" w:eastAsia="Times New Roman" w:hAnsi="Times New Roman" w:cs="Times New Roman"/>
          <w:sz w:val="24"/>
          <w:szCs w:val="24"/>
          <w:lang w:eastAsia="pl-PL"/>
        </w:rPr>
        <w:t xml:space="preserve"> ustawy z dnia 6 września 2001 r. — Prawo farmaceutyczne (Dz. U. z 2004 r. Nr 53, poz. 533, z </w:t>
      </w:r>
      <w:proofErr w:type="spellStart"/>
      <w:r w:rsidRPr="005C0ABB">
        <w:rPr>
          <w:rFonts w:ascii="Times New Roman" w:eastAsia="Times New Roman" w:hAnsi="Times New Roman" w:cs="Times New Roman"/>
          <w:sz w:val="24"/>
          <w:szCs w:val="24"/>
          <w:lang w:eastAsia="pl-PL"/>
        </w:rPr>
        <w:t>późn</w:t>
      </w:r>
      <w:proofErr w:type="spellEnd"/>
      <w:r w:rsidRPr="005C0ABB">
        <w:rPr>
          <w:rFonts w:ascii="Times New Roman" w:eastAsia="Times New Roman" w:hAnsi="Times New Roman" w:cs="Times New Roman"/>
          <w:sz w:val="24"/>
          <w:szCs w:val="24"/>
          <w:lang w:eastAsia="pl-PL"/>
        </w:rPr>
        <w:t xml:space="preserve">. zm. </w:t>
      </w:r>
      <w:bookmarkStart w:id="2" w:name="ftnref2"/>
      <w:r w:rsidRPr="005C0ABB">
        <w:rPr>
          <w:rFonts w:ascii="Times New Roman" w:eastAsia="Times New Roman" w:hAnsi="Times New Roman" w:cs="Times New Roman"/>
          <w:sz w:val="24"/>
          <w:szCs w:val="24"/>
          <w:vertAlign w:val="superscript"/>
          <w:lang w:eastAsia="pl-PL"/>
        </w:rPr>
        <w:fldChar w:fldCharType="begin"/>
      </w:r>
      <w:r w:rsidRPr="005C0ABB">
        <w:rPr>
          <w:rFonts w:ascii="Times New Roman" w:eastAsia="Times New Roman" w:hAnsi="Times New Roman" w:cs="Times New Roman"/>
          <w:sz w:val="24"/>
          <w:szCs w:val="24"/>
          <w:vertAlign w:val="superscript"/>
          <w:lang w:eastAsia="pl-PL"/>
        </w:rPr>
        <w:instrText xml:space="preserve"> HYPERLINK "http://prawo.legeo.pl/prawo/rozporzadzenie-ministra-zdrowia-z-dnia-11-wrzesnia-2006-r-w-sprawie-srodkow-odurzajacych-substancji-psychotropowych-prekursorow-kategorii-1-i-preparatow-zawierajacych-te-srodki-lub-substancje/?on=13.02.2011" \l "ftn2" </w:instrText>
      </w:r>
      <w:r w:rsidRPr="005C0ABB">
        <w:rPr>
          <w:rFonts w:ascii="Times New Roman" w:eastAsia="Times New Roman" w:hAnsi="Times New Roman" w:cs="Times New Roman"/>
          <w:sz w:val="24"/>
          <w:szCs w:val="24"/>
          <w:vertAlign w:val="superscript"/>
          <w:lang w:eastAsia="pl-PL"/>
        </w:rPr>
        <w:fldChar w:fldCharType="separate"/>
      </w:r>
      <w:r w:rsidRPr="005C0ABB">
        <w:rPr>
          <w:rFonts w:ascii="Times New Roman" w:eastAsia="Times New Roman" w:hAnsi="Times New Roman" w:cs="Times New Roman"/>
          <w:color w:val="0000FF"/>
          <w:sz w:val="24"/>
          <w:szCs w:val="24"/>
          <w:u w:val="single"/>
          <w:vertAlign w:val="superscript"/>
          <w:lang w:eastAsia="pl-PL"/>
        </w:rPr>
        <w:t>2)</w:t>
      </w:r>
      <w:r w:rsidRPr="005C0ABB">
        <w:rPr>
          <w:rFonts w:ascii="Times New Roman" w:eastAsia="Times New Roman" w:hAnsi="Times New Roman" w:cs="Times New Roman"/>
          <w:sz w:val="24"/>
          <w:szCs w:val="24"/>
          <w:vertAlign w:val="superscript"/>
          <w:lang w:eastAsia="pl-PL"/>
        </w:rPr>
        <w:fldChar w:fldCharType="end"/>
      </w:r>
      <w:bookmarkEnd w:id="2"/>
      <w:r w:rsidRPr="005C0ABB">
        <w:rPr>
          <w:rFonts w:ascii="Times New Roman" w:eastAsia="Times New Roman" w:hAnsi="Times New Roman" w:cs="Times New Roman"/>
          <w:sz w:val="24"/>
          <w:szCs w:val="24"/>
          <w:lang w:eastAsia="pl-PL"/>
        </w:rPr>
        <w:t xml:space="preserve"> ).</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3. Recepty, o których mowa w ust. 1 i 2, przechowuje się oddzielnie w sposób uporządkowany według dat realizacji, zabezpieczony przed kradzieżą, zamianą lub zniszczeniem.</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11.</w:t>
      </w:r>
      <w:r w:rsidRPr="005C0ABB">
        <w:rPr>
          <w:rFonts w:ascii="Times New Roman" w:eastAsia="Times New Roman" w:hAnsi="Times New Roman" w:cs="Times New Roman"/>
          <w:sz w:val="24"/>
          <w:szCs w:val="24"/>
          <w:lang w:eastAsia="pl-PL"/>
        </w:rPr>
        <w:t xml:space="preserve"> 1. Apteka, z zastrzeżeniem ust. 2, wraz z lekiem recepturowym zawierającym środek odurzający, substancję psychotropową lub prekursor kategorii 1, wydaje opis recepty.</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2. Opis recepty może nie zawierać składu leku recepturowego, jeżeli na recepcie zamieszczono adnotację „wydać opis bez składu”.</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12.</w:t>
      </w:r>
      <w:r w:rsidRPr="005C0ABB">
        <w:rPr>
          <w:rFonts w:ascii="Times New Roman" w:eastAsia="Times New Roman" w:hAnsi="Times New Roman" w:cs="Times New Roman"/>
          <w:sz w:val="24"/>
          <w:szCs w:val="24"/>
          <w:lang w:eastAsia="pl-PL"/>
        </w:rPr>
        <w:t xml:space="preserve"> W razie zaistnienia uzasadnionego podejrzenia co do autentyczności recepty, zapotrzebowania, o których mowa w § 5, lub zapotrzebowania, o którym mowa w § 10 ust. 2, apteka odmawia wydania preparatu i zatrzymuje zakwestionowany dokument, niezwłocznie informując na piśmie o tym fakcie wojewódzkiego inspektora farmaceutycznego właściwego do miejsca prowadzenia działalności.</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13.</w:t>
      </w:r>
      <w:r w:rsidRPr="005C0ABB">
        <w:rPr>
          <w:rFonts w:ascii="Times New Roman" w:eastAsia="Times New Roman" w:hAnsi="Times New Roman" w:cs="Times New Roman"/>
          <w:sz w:val="24"/>
          <w:szCs w:val="24"/>
          <w:lang w:eastAsia="pl-PL"/>
        </w:rPr>
        <w:t xml:space="preserve"> Recepty i zapotrzebowania wystawione przed dniem wejścia w życie rozporządzenia podlegają realizacji zgodnie z dotychczasowymi przepisami.</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14.</w:t>
      </w:r>
      <w:r w:rsidRPr="005C0ABB">
        <w:rPr>
          <w:rFonts w:ascii="Times New Roman" w:eastAsia="Times New Roman" w:hAnsi="Times New Roman" w:cs="Times New Roman"/>
          <w:sz w:val="24"/>
          <w:szCs w:val="24"/>
          <w:lang w:eastAsia="pl-PL"/>
        </w:rPr>
        <w:t xml:space="preserve"> Traci moc </w:t>
      </w:r>
      <w:hyperlink r:id="rId11" w:tooltip="Rozporządzenie w sprawie warunków przechowywania przez apteki środków odurzających, substancji psychotropowych i prekursorów grupy I-R oraz warunków przechowywania i wydawania z aptek preparatów zawierających te środki lub substancje" w:history="1">
        <w:r w:rsidRPr="005C0ABB">
          <w:rPr>
            <w:rFonts w:ascii="Times New Roman" w:eastAsia="Times New Roman" w:hAnsi="Times New Roman" w:cs="Times New Roman"/>
            <w:color w:val="0000FF"/>
            <w:sz w:val="24"/>
            <w:szCs w:val="24"/>
            <w:u w:val="single"/>
            <w:lang w:eastAsia="pl-PL"/>
          </w:rPr>
          <w:t>rozporządzenie</w:t>
        </w:r>
      </w:hyperlink>
      <w:r w:rsidRPr="005C0ABB">
        <w:rPr>
          <w:rFonts w:ascii="Times New Roman" w:eastAsia="Times New Roman" w:hAnsi="Times New Roman" w:cs="Times New Roman"/>
          <w:sz w:val="24"/>
          <w:szCs w:val="24"/>
          <w:lang w:eastAsia="pl-PL"/>
        </w:rPr>
        <w:t xml:space="preserve"> Ministra Zdrowia z dnia 13 stycznia 2003 r. w sprawie warunków przechowywania przez apteki środków odurzających, substancji psychotropowych i prekursorów grupy I-R oraz warunków przechowywania i wydawania z aptek preparatów zawierających te środki lub substancje (Dz. U. Nr 37, poz. 323).</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b/>
          <w:bCs/>
          <w:sz w:val="24"/>
          <w:szCs w:val="24"/>
          <w:lang w:eastAsia="pl-PL"/>
        </w:rPr>
        <w:t>§ 15.</w:t>
      </w:r>
      <w:r w:rsidRPr="005C0ABB">
        <w:rPr>
          <w:rFonts w:ascii="Times New Roman" w:eastAsia="Times New Roman" w:hAnsi="Times New Roman" w:cs="Times New Roman"/>
          <w:sz w:val="24"/>
          <w:szCs w:val="24"/>
          <w:lang w:eastAsia="pl-PL"/>
        </w:rPr>
        <w:t xml:space="preserve"> Rozporządzenie wchodzi w życie po upływie 14 dni od dnia ogłoszenia.</w:t>
      </w:r>
    </w:p>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lang w:eastAsia="pl-PL"/>
        </w:rPr>
        <w:t xml:space="preserve">Minister Zdrowia: </w:t>
      </w:r>
      <w:r w:rsidRPr="005C0ABB">
        <w:rPr>
          <w:rFonts w:ascii="Times New Roman" w:eastAsia="Times New Roman" w:hAnsi="Times New Roman" w:cs="Times New Roman"/>
          <w:i/>
          <w:iCs/>
          <w:sz w:val="24"/>
          <w:szCs w:val="24"/>
          <w:lang w:eastAsia="pl-PL"/>
        </w:rPr>
        <w:t>Z. Religa</w:t>
      </w:r>
    </w:p>
    <w:p w:rsidR="005C0ABB" w:rsidRPr="005C0ABB" w:rsidRDefault="0087735D" w:rsidP="005C0ABB">
      <w:p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005C0ABB" w:rsidRPr="005C0ABB">
          <w:rPr>
            <w:rFonts w:ascii="Times New Roman" w:eastAsia="Times New Roman" w:hAnsi="Times New Roman" w:cs="Times New Roman"/>
            <w:b/>
            <w:bCs/>
            <w:color w:val="0000FF"/>
            <w:sz w:val="24"/>
            <w:szCs w:val="24"/>
            <w:u w:val="single"/>
            <w:lang w:eastAsia="pl-PL"/>
          </w:rPr>
          <w:t>Załącznik 1</w:t>
        </w:r>
      </w:hyperlink>
    </w:p>
    <w:p w:rsidR="005C0ABB" w:rsidRPr="005C0ABB" w:rsidRDefault="0087735D" w:rsidP="005C0AB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149.7pt;height:1.5pt" o:hrpct="330" o:hralign="center" o:hrstd="t" o:hr="t" fillcolor="#a0a0a0" stroked="f"/>
        </w:pict>
      </w:r>
    </w:p>
    <w:bookmarkStart w:id="3" w:name="ftn1"/>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vertAlign w:val="superscript"/>
          <w:lang w:eastAsia="pl-PL"/>
        </w:rPr>
        <w:fldChar w:fldCharType="begin"/>
      </w:r>
      <w:r w:rsidRPr="005C0ABB">
        <w:rPr>
          <w:rFonts w:ascii="Times New Roman" w:eastAsia="Times New Roman" w:hAnsi="Times New Roman" w:cs="Times New Roman"/>
          <w:sz w:val="24"/>
          <w:szCs w:val="24"/>
          <w:vertAlign w:val="superscript"/>
          <w:lang w:eastAsia="pl-PL"/>
        </w:rPr>
        <w:instrText xml:space="preserve"> HYPERLINK "http://prawo.legeo.pl/prawo/rozporzadzenie-ministra-zdrowia-z-dnia-11-wrzesnia-2006-r-w-sprawie-srodkow-odurzajacych-substancji-psychotropowych-prekursorow-kategorii-1-i-preparatow-zawierajacych-te-srodki-lub-substancje/?on=13.02.2011" \l "ftnref1" </w:instrText>
      </w:r>
      <w:r w:rsidRPr="005C0ABB">
        <w:rPr>
          <w:rFonts w:ascii="Times New Roman" w:eastAsia="Times New Roman" w:hAnsi="Times New Roman" w:cs="Times New Roman"/>
          <w:sz w:val="24"/>
          <w:szCs w:val="24"/>
          <w:vertAlign w:val="superscript"/>
          <w:lang w:eastAsia="pl-PL"/>
        </w:rPr>
        <w:fldChar w:fldCharType="separate"/>
      </w:r>
      <w:r w:rsidRPr="005C0ABB">
        <w:rPr>
          <w:rFonts w:ascii="Times New Roman" w:eastAsia="Times New Roman" w:hAnsi="Times New Roman" w:cs="Times New Roman"/>
          <w:color w:val="0000FF"/>
          <w:sz w:val="24"/>
          <w:szCs w:val="24"/>
          <w:u w:val="single"/>
          <w:vertAlign w:val="superscript"/>
          <w:lang w:eastAsia="pl-PL"/>
        </w:rPr>
        <w:t>1)</w:t>
      </w:r>
      <w:r w:rsidRPr="005C0ABB">
        <w:rPr>
          <w:rFonts w:ascii="Times New Roman" w:eastAsia="Times New Roman" w:hAnsi="Times New Roman" w:cs="Times New Roman"/>
          <w:sz w:val="24"/>
          <w:szCs w:val="24"/>
          <w:vertAlign w:val="superscript"/>
          <w:lang w:eastAsia="pl-PL"/>
        </w:rPr>
        <w:fldChar w:fldCharType="end"/>
      </w:r>
      <w:bookmarkEnd w:id="3"/>
      <w:r w:rsidRPr="005C0ABB">
        <w:rPr>
          <w:rFonts w:ascii="Times New Roman" w:eastAsia="Times New Roman" w:hAnsi="Times New Roman" w:cs="Times New Roman"/>
          <w:sz w:val="24"/>
          <w:szCs w:val="24"/>
          <w:lang w:eastAsia="pl-PL"/>
        </w:rPr>
        <w:t xml:space="preserve"> Minister Zdrowia kieruje działem administracji rządowej — zdrowie, na podstawie § 1 ust. 2 rozporządzenia Prezesa Rady Ministrów z dnia 18 lipca 2006 r. w sprawie szczegółowego zakresu działania Ministra Zdrowia (Dz. U. Nr 131, poz. 924).</w:t>
      </w:r>
    </w:p>
    <w:bookmarkStart w:id="4" w:name="ftn2"/>
    <w:p w:rsidR="005C0ABB" w:rsidRPr="005C0ABB" w:rsidRDefault="005C0ABB" w:rsidP="005C0ABB">
      <w:pPr>
        <w:spacing w:before="100" w:beforeAutospacing="1" w:after="100" w:afterAutospacing="1" w:line="240" w:lineRule="auto"/>
        <w:rPr>
          <w:rFonts w:ascii="Times New Roman" w:eastAsia="Times New Roman" w:hAnsi="Times New Roman" w:cs="Times New Roman"/>
          <w:sz w:val="24"/>
          <w:szCs w:val="24"/>
          <w:lang w:eastAsia="pl-PL"/>
        </w:rPr>
      </w:pPr>
      <w:r w:rsidRPr="005C0ABB">
        <w:rPr>
          <w:rFonts w:ascii="Times New Roman" w:eastAsia="Times New Roman" w:hAnsi="Times New Roman" w:cs="Times New Roman"/>
          <w:sz w:val="24"/>
          <w:szCs w:val="24"/>
          <w:vertAlign w:val="superscript"/>
          <w:lang w:eastAsia="pl-PL"/>
        </w:rPr>
        <w:fldChar w:fldCharType="begin"/>
      </w:r>
      <w:r w:rsidRPr="005C0ABB">
        <w:rPr>
          <w:rFonts w:ascii="Times New Roman" w:eastAsia="Times New Roman" w:hAnsi="Times New Roman" w:cs="Times New Roman"/>
          <w:sz w:val="24"/>
          <w:szCs w:val="24"/>
          <w:vertAlign w:val="superscript"/>
          <w:lang w:eastAsia="pl-PL"/>
        </w:rPr>
        <w:instrText xml:space="preserve"> HYPERLINK "http://prawo.legeo.pl/prawo/rozporzadzenie-ministra-zdrowia-z-dnia-11-wrzesnia-2006-r-w-sprawie-srodkow-odurzajacych-substancji-psychotropowych-prekursorow-kategorii-1-i-preparatow-zawierajacych-te-srodki-lub-substancje/?on=13.02.2011" \l "ftnref2" </w:instrText>
      </w:r>
      <w:r w:rsidRPr="005C0ABB">
        <w:rPr>
          <w:rFonts w:ascii="Times New Roman" w:eastAsia="Times New Roman" w:hAnsi="Times New Roman" w:cs="Times New Roman"/>
          <w:sz w:val="24"/>
          <w:szCs w:val="24"/>
          <w:vertAlign w:val="superscript"/>
          <w:lang w:eastAsia="pl-PL"/>
        </w:rPr>
        <w:fldChar w:fldCharType="separate"/>
      </w:r>
      <w:r w:rsidRPr="005C0ABB">
        <w:rPr>
          <w:rFonts w:ascii="Times New Roman" w:eastAsia="Times New Roman" w:hAnsi="Times New Roman" w:cs="Times New Roman"/>
          <w:color w:val="0000FF"/>
          <w:sz w:val="24"/>
          <w:szCs w:val="24"/>
          <w:u w:val="single"/>
          <w:vertAlign w:val="superscript"/>
          <w:lang w:eastAsia="pl-PL"/>
        </w:rPr>
        <w:t>2)</w:t>
      </w:r>
      <w:r w:rsidRPr="005C0ABB">
        <w:rPr>
          <w:rFonts w:ascii="Times New Roman" w:eastAsia="Times New Roman" w:hAnsi="Times New Roman" w:cs="Times New Roman"/>
          <w:sz w:val="24"/>
          <w:szCs w:val="24"/>
          <w:vertAlign w:val="superscript"/>
          <w:lang w:eastAsia="pl-PL"/>
        </w:rPr>
        <w:fldChar w:fldCharType="end"/>
      </w:r>
      <w:bookmarkEnd w:id="4"/>
      <w:r w:rsidRPr="005C0ABB">
        <w:rPr>
          <w:rFonts w:ascii="Times New Roman" w:eastAsia="Times New Roman" w:hAnsi="Times New Roman" w:cs="Times New Roman"/>
          <w:sz w:val="24"/>
          <w:szCs w:val="24"/>
          <w:lang w:eastAsia="pl-PL"/>
        </w:rPr>
        <w:t xml:space="preserve"> Zmiany tekstu jednolitego wymienionej ustawy zostały ogłoszone w Dz. U. z 2004 r. Nr 69, poz. 625, Nr 91, poz. 877, Nr 92, poz. 882, Nr 93, poz. 896, Nr 173, poz. 1808, Nr 210, poz. 2135 i Nr 273, poz. 2703 oraz z 2005 r. Nr 94, poz. 787, Nr 163, poz. 1362, Nr 179, poz. 1485 i Nr 184, poz. 1539.</w:t>
      </w:r>
    </w:p>
    <w:p w:rsidR="00392D3E" w:rsidRDefault="00392D3E"/>
    <w:sectPr w:rsidR="0039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BB"/>
    <w:rsid w:val="00392D3E"/>
    <w:rsid w:val="005C0ABB"/>
    <w:rsid w:val="007C000D"/>
    <w:rsid w:val="00877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C0ABB"/>
    <w:rPr>
      <w:color w:val="0000FF"/>
      <w:u w:val="single"/>
    </w:rPr>
  </w:style>
  <w:style w:type="paragraph" w:styleId="NormalnyWeb">
    <w:name w:val="Normal (Web)"/>
    <w:basedOn w:val="Normalny"/>
    <w:uiPriority w:val="99"/>
    <w:semiHidden/>
    <w:unhideWhenUsed/>
    <w:rsid w:val="005C0A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C0ABB"/>
    <w:rPr>
      <w:color w:val="0000FF"/>
      <w:u w:val="single"/>
    </w:rPr>
  </w:style>
  <w:style w:type="paragraph" w:styleId="NormalnyWeb">
    <w:name w:val="Normal (Web)"/>
    <w:basedOn w:val="Normalny"/>
    <w:uiPriority w:val="99"/>
    <w:semiHidden/>
    <w:unhideWhenUsed/>
    <w:rsid w:val="005C0A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360467">
      <w:bodyDiv w:val="1"/>
      <w:marLeft w:val="0"/>
      <w:marRight w:val="0"/>
      <w:marTop w:val="0"/>
      <w:marBottom w:val="0"/>
      <w:divBdr>
        <w:top w:val="none" w:sz="0" w:space="0" w:color="auto"/>
        <w:left w:val="none" w:sz="0" w:space="0" w:color="auto"/>
        <w:bottom w:val="none" w:sz="0" w:space="0" w:color="auto"/>
        <w:right w:val="none" w:sz="0" w:space="0" w:color="auto"/>
      </w:divBdr>
      <w:divsChild>
        <w:div w:id="117341378">
          <w:marLeft w:val="0"/>
          <w:marRight w:val="0"/>
          <w:marTop w:val="0"/>
          <w:marBottom w:val="0"/>
          <w:divBdr>
            <w:top w:val="none" w:sz="0" w:space="0" w:color="auto"/>
            <w:left w:val="none" w:sz="0" w:space="0" w:color="auto"/>
            <w:bottom w:val="none" w:sz="0" w:space="0" w:color="auto"/>
            <w:right w:val="none" w:sz="0" w:space="0" w:color="auto"/>
          </w:divBdr>
          <w:divsChild>
            <w:div w:id="1841120468">
              <w:marLeft w:val="0"/>
              <w:marRight w:val="0"/>
              <w:marTop w:val="0"/>
              <w:marBottom w:val="0"/>
              <w:divBdr>
                <w:top w:val="none" w:sz="0" w:space="0" w:color="auto"/>
                <w:left w:val="none" w:sz="0" w:space="0" w:color="auto"/>
                <w:bottom w:val="none" w:sz="0" w:space="0" w:color="auto"/>
                <w:right w:val="none" w:sz="0" w:space="0" w:color="auto"/>
              </w:divBdr>
              <w:divsChild>
                <w:div w:id="1404721942">
                  <w:marLeft w:val="0"/>
                  <w:marRight w:val="0"/>
                  <w:marTop w:val="0"/>
                  <w:marBottom w:val="0"/>
                  <w:divBdr>
                    <w:top w:val="none" w:sz="0" w:space="0" w:color="auto"/>
                    <w:left w:val="none" w:sz="0" w:space="0" w:color="auto"/>
                    <w:bottom w:val="none" w:sz="0" w:space="0" w:color="auto"/>
                    <w:right w:val="none" w:sz="0" w:space="0" w:color="auto"/>
                  </w:divBdr>
                  <w:divsChild>
                    <w:div w:id="2008704839">
                      <w:marLeft w:val="0"/>
                      <w:marRight w:val="0"/>
                      <w:marTop w:val="0"/>
                      <w:marBottom w:val="0"/>
                      <w:divBdr>
                        <w:top w:val="none" w:sz="0" w:space="0" w:color="auto"/>
                        <w:left w:val="none" w:sz="0" w:space="0" w:color="auto"/>
                        <w:bottom w:val="none" w:sz="0" w:space="0" w:color="auto"/>
                        <w:right w:val="none" w:sz="0" w:space="0" w:color="auto"/>
                      </w:divBdr>
                      <w:divsChild>
                        <w:div w:id="406658080">
                          <w:marLeft w:val="0"/>
                          <w:marRight w:val="0"/>
                          <w:marTop w:val="0"/>
                          <w:marBottom w:val="0"/>
                          <w:divBdr>
                            <w:top w:val="none" w:sz="0" w:space="0" w:color="auto"/>
                            <w:left w:val="none" w:sz="0" w:space="0" w:color="auto"/>
                            <w:bottom w:val="none" w:sz="0" w:space="0" w:color="auto"/>
                            <w:right w:val="none" w:sz="0" w:space="0" w:color="auto"/>
                          </w:divBdr>
                        </w:div>
                      </w:divsChild>
                    </w:div>
                    <w:div w:id="876046813">
                      <w:marLeft w:val="0"/>
                      <w:marRight w:val="0"/>
                      <w:marTop w:val="0"/>
                      <w:marBottom w:val="0"/>
                      <w:divBdr>
                        <w:top w:val="none" w:sz="0" w:space="0" w:color="auto"/>
                        <w:left w:val="none" w:sz="0" w:space="0" w:color="auto"/>
                        <w:bottom w:val="none" w:sz="0" w:space="0" w:color="auto"/>
                        <w:right w:val="none" w:sz="0" w:space="0" w:color="auto"/>
                      </w:divBdr>
                    </w:div>
                    <w:div w:id="1660235318">
                      <w:marLeft w:val="0"/>
                      <w:marRight w:val="0"/>
                      <w:marTop w:val="0"/>
                      <w:marBottom w:val="0"/>
                      <w:divBdr>
                        <w:top w:val="none" w:sz="0" w:space="0" w:color="auto"/>
                        <w:left w:val="none" w:sz="0" w:space="0" w:color="auto"/>
                        <w:bottom w:val="none" w:sz="0" w:space="0" w:color="auto"/>
                        <w:right w:val="none" w:sz="0" w:space="0" w:color="auto"/>
                      </w:divBdr>
                      <w:divsChild>
                        <w:div w:id="1633049619">
                          <w:marLeft w:val="0"/>
                          <w:marRight w:val="0"/>
                          <w:marTop w:val="0"/>
                          <w:marBottom w:val="0"/>
                          <w:divBdr>
                            <w:top w:val="none" w:sz="0" w:space="0" w:color="auto"/>
                            <w:left w:val="none" w:sz="0" w:space="0" w:color="auto"/>
                            <w:bottom w:val="none" w:sz="0" w:space="0" w:color="auto"/>
                            <w:right w:val="none" w:sz="0" w:space="0" w:color="auto"/>
                          </w:divBdr>
                        </w:div>
                        <w:div w:id="1818060920">
                          <w:marLeft w:val="0"/>
                          <w:marRight w:val="0"/>
                          <w:marTop w:val="0"/>
                          <w:marBottom w:val="0"/>
                          <w:divBdr>
                            <w:top w:val="none" w:sz="0" w:space="0" w:color="auto"/>
                            <w:left w:val="none" w:sz="0" w:space="0" w:color="auto"/>
                            <w:bottom w:val="none" w:sz="0" w:space="0" w:color="auto"/>
                            <w:right w:val="none" w:sz="0" w:space="0" w:color="auto"/>
                          </w:divBdr>
                        </w:div>
                      </w:divsChild>
                    </w:div>
                    <w:div w:id="934746900">
                      <w:marLeft w:val="0"/>
                      <w:marRight w:val="0"/>
                      <w:marTop w:val="0"/>
                      <w:marBottom w:val="0"/>
                      <w:divBdr>
                        <w:top w:val="none" w:sz="0" w:space="0" w:color="auto"/>
                        <w:left w:val="none" w:sz="0" w:space="0" w:color="auto"/>
                        <w:bottom w:val="none" w:sz="0" w:space="0" w:color="auto"/>
                        <w:right w:val="none" w:sz="0" w:space="0" w:color="auto"/>
                      </w:divBdr>
                      <w:divsChild>
                        <w:div w:id="1844514003">
                          <w:marLeft w:val="0"/>
                          <w:marRight w:val="0"/>
                          <w:marTop w:val="0"/>
                          <w:marBottom w:val="0"/>
                          <w:divBdr>
                            <w:top w:val="none" w:sz="0" w:space="0" w:color="auto"/>
                            <w:left w:val="none" w:sz="0" w:space="0" w:color="auto"/>
                            <w:bottom w:val="none" w:sz="0" w:space="0" w:color="auto"/>
                            <w:right w:val="none" w:sz="0" w:space="0" w:color="auto"/>
                          </w:divBdr>
                        </w:div>
                        <w:div w:id="109713404">
                          <w:marLeft w:val="0"/>
                          <w:marRight w:val="0"/>
                          <w:marTop w:val="0"/>
                          <w:marBottom w:val="0"/>
                          <w:divBdr>
                            <w:top w:val="none" w:sz="0" w:space="0" w:color="auto"/>
                            <w:left w:val="none" w:sz="0" w:space="0" w:color="auto"/>
                            <w:bottom w:val="none" w:sz="0" w:space="0" w:color="auto"/>
                            <w:right w:val="none" w:sz="0" w:space="0" w:color="auto"/>
                          </w:divBdr>
                        </w:div>
                      </w:divsChild>
                    </w:div>
                    <w:div w:id="357047808">
                      <w:marLeft w:val="0"/>
                      <w:marRight w:val="0"/>
                      <w:marTop w:val="0"/>
                      <w:marBottom w:val="0"/>
                      <w:divBdr>
                        <w:top w:val="none" w:sz="0" w:space="0" w:color="auto"/>
                        <w:left w:val="none" w:sz="0" w:space="0" w:color="auto"/>
                        <w:bottom w:val="none" w:sz="0" w:space="0" w:color="auto"/>
                        <w:right w:val="none" w:sz="0" w:space="0" w:color="auto"/>
                      </w:divBdr>
                      <w:divsChild>
                        <w:div w:id="1566255241">
                          <w:marLeft w:val="0"/>
                          <w:marRight w:val="0"/>
                          <w:marTop w:val="0"/>
                          <w:marBottom w:val="0"/>
                          <w:divBdr>
                            <w:top w:val="none" w:sz="0" w:space="0" w:color="auto"/>
                            <w:left w:val="none" w:sz="0" w:space="0" w:color="auto"/>
                            <w:bottom w:val="none" w:sz="0" w:space="0" w:color="auto"/>
                            <w:right w:val="none" w:sz="0" w:space="0" w:color="auto"/>
                          </w:divBdr>
                        </w:div>
                        <w:div w:id="132130">
                          <w:marLeft w:val="0"/>
                          <w:marRight w:val="0"/>
                          <w:marTop w:val="0"/>
                          <w:marBottom w:val="0"/>
                          <w:divBdr>
                            <w:top w:val="none" w:sz="0" w:space="0" w:color="auto"/>
                            <w:left w:val="none" w:sz="0" w:space="0" w:color="auto"/>
                            <w:bottom w:val="none" w:sz="0" w:space="0" w:color="auto"/>
                            <w:right w:val="none" w:sz="0" w:space="0" w:color="auto"/>
                          </w:divBdr>
                          <w:divsChild>
                            <w:div w:id="787044097">
                              <w:marLeft w:val="0"/>
                              <w:marRight w:val="0"/>
                              <w:marTop w:val="0"/>
                              <w:marBottom w:val="0"/>
                              <w:divBdr>
                                <w:top w:val="none" w:sz="0" w:space="0" w:color="auto"/>
                                <w:left w:val="none" w:sz="0" w:space="0" w:color="auto"/>
                                <w:bottom w:val="none" w:sz="0" w:space="0" w:color="auto"/>
                                <w:right w:val="none" w:sz="0" w:space="0" w:color="auto"/>
                              </w:divBdr>
                            </w:div>
                            <w:div w:id="1780417569">
                              <w:marLeft w:val="0"/>
                              <w:marRight w:val="0"/>
                              <w:marTop w:val="0"/>
                              <w:marBottom w:val="0"/>
                              <w:divBdr>
                                <w:top w:val="none" w:sz="0" w:space="0" w:color="auto"/>
                                <w:left w:val="none" w:sz="0" w:space="0" w:color="auto"/>
                                <w:bottom w:val="none" w:sz="0" w:space="0" w:color="auto"/>
                                <w:right w:val="none" w:sz="0" w:space="0" w:color="auto"/>
                              </w:divBdr>
                              <w:divsChild>
                                <w:div w:id="1561406139">
                                  <w:marLeft w:val="0"/>
                                  <w:marRight w:val="0"/>
                                  <w:marTop w:val="0"/>
                                  <w:marBottom w:val="0"/>
                                  <w:divBdr>
                                    <w:top w:val="none" w:sz="0" w:space="0" w:color="auto"/>
                                    <w:left w:val="none" w:sz="0" w:space="0" w:color="auto"/>
                                    <w:bottom w:val="none" w:sz="0" w:space="0" w:color="auto"/>
                                    <w:right w:val="none" w:sz="0" w:space="0" w:color="auto"/>
                                  </w:divBdr>
                                </w:div>
                                <w:div w:id="1814786711">
                                  <w:marLeft w:val="0"/>
                                  <w:marRight w:val="0"/>
                                  <w:marTop w:val="0"/>
                                  <w:marBottom w:val="0"/>
                                  <w:divBdr>
                                    <w:top w:val="none" w:sz="0" w:space="0" w:color="auto"/>
                                    <w:left w:val="none" w:sz="0" w:space="0" w:color="auto"/>
                                    <w:bottom w:val="none" w:sz="0" w:space="0" w:color="auto"/>
                                    <w:right w:val="none" w:sz="0" w:space="0" w:color="auto"/>
                                  </w:divBdr>
                                </w:div>
                                <w:div w:id="740174630">
                                  <w:marLeft w:val="0"/>
                                  <w:marRight w:val="0"/>
                                  <w:marTop w:val="0"/>
                                  <w:marBottom w:val="0"/>
                                  <w:divBdr>
                                    <w:top w:val="none" w:sz="0" w:space="0" w:color="auto"/>
                                    <w:left w:val="none" w:sz="0" w:space="0" w:color="auto"/>
                                    <w:bottom w:val="none" w:sz="0" w:space="0" w:color="auto"/>
                                    <w:right w:val="none" w:sz="0" w:space="0" w:color="auto"/>
                                  </w:divBdr>
                                </w:div>
                                <w:div w:id="2019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7490">
                          <w:marLeft w:val="0"/>
                          <w:marRight w:val="0"/>
                          <w:marTop w:val="0"/>
                          <w:marBottom w:val="0"/>
                          <w:divBdr>
                            <w:top w:val="none" w:sz="0" w:space="0" w:color="auto"/>
                            <w:left w:val="none" w:sz="0" w:space="0" w:color="auto"/>
                            <w:bottom w:val="none" w:sz="0" w:space="0" w:color="auto"/>
                            <w:right w:val="none" w:sz="0" w:space="0" w:color="auto"/>
                          </w:divBdr>
                        </w:div>
                        <w:div w:id="1808165319">
                          <w:marLeft w:val="0"/>
                          <w:marRight w:val="0"/>
                          <w:marTop w:val="0"/>
                          <w:marBottom w:val="0"/>
                          <w:divBdr>
                            <w:top w:val="none" w:sz="0" w:space="0" w:color="auto"/>
                            <w:left w:val="none" w:sz="0" w:space="0" w:color="auto"/>
                            <w:bottom w:val="none" w:sz="0" w:space="0" w:color="auto"/>
                            <w:right w:val="none" w:sz="0" w:space="0" w:color="auto"/>
                          </w:divBdr>
                        </w:div>
                        <w:div w:id="478771996">
                          <w:marLeft w:val="0"/>
                          <w:marRight w:val="0"/>
                          <w:marTop w:val="0"/>
                          <w:marBottom w:val="0"/>
                          <w:divBdr>
                            <w:top w:val="none" w:sz="0" w:space="0" w:color="auto"/>
                            <w:left w:val="none" w:sz="0" w:space="0" w:color="auto"/>
                            <w:bottom w:val="none" w:sz="0" w:space="0" w:color="auto"/>
                            <w:right w:val="none" w:sz="0" w:space="0" w:color="auto"/>
                          </w:divBdr>
                        </w:div>
                        <w:div w:id="2083062239">
                          <w:marLeft w:val="0"/>
                          <w:marRight w:val="0"/>
                          <w:marTop w:val="0"/>
                          <w:marBottom w:val="0"/>
                          <w:divBdr>
                            <w:top w:val="none" w:sz="0" w:space="0" w:color="auto"/>
                            <w:left w:val="none" w:sz="0" w:space="0" w:color="auto"/>
                            <w:bottom w:val="none" w:sz="0" w:space="0" w:color="auto"/>
                            <w:right w:val="none" w:sz="0" w:space="0" w:color="auto"/>
                          </w:divBdr>
                        </w:div>
                        <w:div w:id="2094425068">
                          <w:marLeft w:val="0"/>
                          <w:marRight w:val="0"/>
                          <w:marTop w:val="0"/>
                          <w:marBottom w:val="0"/>
                          <w:divBdr>
                            <w:top w:val="none" w:sz="0" w:space="0" w:color="auto"/>
                            <w:left w:val="none" w:sz="0" w:space="0" w:color="auto"/>
                            <w:bottom w:val="none" w:sz="0" w:space="0" w:color="auto"/>
                            <w:right w:val="none" w:sz="0" w:space="0" w:color="auto"/>
                          </w:divBdr>
                          <w:divsChild>
                            <w:div w:id="1052534169">
                              <w:marLeft w:val="0"/>
                              <w:marRight w:val="0"/>
                              <w:marTop w:val="0"/>
                              <w:marBottom w:val="0"/>
                              <w:divBdr>
                                <w:top w:val="none" w:sz="0" w:space="0" w:color="auto"/>
                                <w:left w:val="none" w:sz="0" w:space="0" w:color="auto"/>
                                <w:bottom w:val="none" w:sz="0" w:space="0" w:color="auto"/>
                                <w:right w:val="none" w:sz="0" w:space="0" w:color="auto"/>
                              </w:divBdr>
                            </w:div>
                            <w:div w:id="1306886042">
                              <w:marLeft w:val="0"/>
                              <w:marRight w:val="0"/>
                              <w:marTop w:val="0"/>
                              <w:marBottom w:val="0"/>
                              <w:divBdr>
                                <w:top w:val="none" w:sz="0" w:space="0" w:color="auto"/>
                                <w:left w:val="none" w:sz="0" w:space="0" w:color="auto"/>
                                <w:bottom w:val="none" w:sz="0" w:space="0" w:color="auto"/>
                                <w:right w:val="none" w:sz="0" w:space="0" w:color="auto"/>
                              </w:divBdr>
                            </w:div>
                            <w:div w:id="1577856067">
                              <w:marLeft w:val="0"/>
                              <w:marRight w:val="0"/>
                              <w:marTop w:val="0"/>
                              <w:marBottom w:val="0"/>
                              <w:divBdr>
                                <w:top w:val="none" w:sz="0" w:space="0" w:color="auto"/>
                                <w:left w:val="none" w:sz="0" w:space="0" w:color="auto"/>
                                <w:bottom w:val="none" w:sz="0" w:space="0" w:color="auto"/>
                                <w:right w:val="none" w:sz="0" w:space="0" w:color="auto"/>
                              </w:divBdr>
                            </w:div>
                            <w:div w:id="498615546">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sChild>
                        </w:div>
                        <w:div w:id="1896506564">
                          <w:marLeft w:val="0"/>
                          <w:marRight w:val="0"/>
                          <w:marTop w:val="0"/>
                          <w:marBottom w:val="0"/>
                          <w:divBdr>
                            <w:top w:val="none" w:sz="0" w:space="0" w:color="auto"/>
                            <w:left w:val="none" w:sz="0" w:space="0" w:color="auto"/>
                            <w:bottom w:val="none" w:sz="0" w:space="0" w:color="auto"/>
                            <w:right w:val="none" w:sz="0" w:space="0" w:color="auto"/>
                          </w:divBdr>
                        </w:div>
                        <w:div w:id="1358042235">
                          <w:marLeft w:val="0"/>
                          <w:marRight w:val="0"/>
                          <w:marTop w:val="0"/>
                          <w:marBottom w:val="0"/>
                          <w:divBdr>
                            <w:top w:val="none" w:sz="0" w:space="0" w:color="auto"/>
                            <w:left w:val="none" w:sz="0" w:space="0" w:color="auto"/>
                            <w:bottom w:val="none" w:sz="0" w:space="0" w:color="auto"/>
                            <w:right w:val="none" w:sz="0" w:space="0" w:color="auto"/>
                          </w:divBdr>
                        </w:div>
                        <w:div w:id="1120226154">
                          <w:marLeft w:val="0"/>
                          <w:marRight w:val="0"/>
                          <w:marTop w:val="0"/>
                          <w:marBottom w:val="0"/>
                          <w:divBdr>
                            <w:top w:val="none" w:sz="0" w:space="0" w:color="auto"/>
                            <w:left w:val="none" w:sz="0" w:space="0" w:color="auto"/>
                            <w:bottom w:val="none" w:sz="0" w:space="0" w:color="auto"/>
                            <w:right w:val="none" w:sz="0" w:space="0" w:color="auto"/>
                          </w:divBdr>
                        </w:div>
                        <w:div w:id="1039355059">
                          <w:marLeft w:val="0"/>
                          <w:marRight w:val="0"/>
                          <w:marTop w:val="0"/>
                          <w:marBottom w:val="0"/>
                          <w:divBdr>
                            <w:top w:val="none" w:sz="0" w:space="0" w:color="auto"/>
                            <w:left w:val="none" w:sz="0" w:space="0" w:color="auto"/>
                            <w:bottom w:val="none" w:sz="0" w:space="0" w:color="auto"/>
                            <w:right w:val="none" w:sz="0" w:space="0" w:color="auto"/>
                          </w:divBdr>
                        </w:div>
                      </w:divsChild>
                    </w:div>
                    <w:div w:id="712080213">
                      <w:marLeft w:val="0"/>
                      <w:marRight w:val="0"/>
                      <w:marTop w:val="0"/>
                      <w:marBottom w:val="0"/>
                      <w:divBdr>
                        <w:top w:val="none" w:sz="0" w:space="0" w:color="auto"/>
                        <w:left w:val="none" w:sz="0" w:space="0" w:color="auto"/>
                        <w:bottom w:val="none" w:sz="0" w:space="0" w:color="auto"/>
                        <w:right w:val="none" w:sz="0" w:space="0" w:color="auto"/>
                      </w:divBdr>
                      <w:divsChild>
                        <w:div w:id="999890423">
                          <w:marLeft w:val="0"/>
                          <w:marRight w:val="0"/>
                          <w:marTop w:val="0"/>
                          <w:marBottom w:val="0"/>
                          <w:divBdr>
                            <w:top w:val="none" w:sz="0" w:space="0" w:color="auto"/>
                            <w:left w:val="none" w:sz="0" w:space="0" w:color="auto"/>
                            <w:bottom w:val="none" w:sz="0" w:space="0" w:color="auto"/>
                            <w:right w:val="none" w:sz="0" w:space="0" w:color="auto"/>
                          </w:divBdr>
                          <w:divsChild>
                            <w:div w:id="1932003799">
                              <w:marLeft w:val="0"/>
                              <w:marRight w:val="0"/>
                              <w:marTop w:val="0"/>
                              <w:marBottom w:val="0"/>
                              <w:divBdr>
                                <w:top w:val="none" w:sz="0" w:space="0" w:color="auto"/>
                                <w:left w:val="none" w:sz="0" w:space="0" w:color="auto"/>
                                <w:bottom w:val="none" w:sz="0" w:space="0" w:color="auto"/>
                                <w:right w:val="none" w:sz="0" w:space="0" w:color="auto"/>
                              </w:divBdr>
                            </w:div>
                            <w:div w:id="1987665848">
                              <w:marLeft w:val="0"/>
                              <w:marRight w:val="0"/>
                              <w:marTop w:val="0"/>
                              <w:marBottom w:val="0"/>
                              <w:divBdr>
                                <w:top w:val="none" w:sz="0" w:space="0" w:color="auto"/>
                                <w:left w:val="none" w:sz="0" w:space="0" w:color="auto"/>
                                <w:bottom w:val="none" w:sz="0" w:space="0" w:color="auto"/>
                                <w:right w:val="none" w:sz="0" w:space="0" w:color="auto"/>
                              </w:divBdr>
                            </w:div>
                          </w:divsChild>
                        </w:div>
                        <w:div w:id="449322471">
                          <w:marLeft w:val="0"/>
                          <w:marRight w:val="0"/>
                          <w:marTop w:val="0"/>
                          <w:marBottom w:val="0"/>
                          <w:divBdr>
                            <w:top w:val="none" w:sz="0" w:space="0" w:color="auto"/>
                            <w:left w:val="none" w:sz="0" w:space="0" w:color="auto"/>
                            <w:bottom w:val="none" w:sz="0" w:space="0" w:color="auto"/>
                            <w:right w:val="none" w:sz="0" w:space="0" w:color="auto"/>
                          </w:divBdr>
                        </w:div>
                      </w:divsChild>
                    </w:div>
                    <w:div w:id="1983658984">
                      <w:marLeft w:val="0"/>
                      <w:marRight w:val="0"/>
                      <w:marTop w:val="0"/>
                      <w:marBottom w:val="0"/>
                      <w:divBdr>
                        <w:top w:val="none" w:sz="0" w:space="0" w:color="auto"/>
                        <w:left w:val="none" w:sz="0" w:space="0" w:color="auto"/>
                        <w:bottom w:val="none" w:sz="0" w:space="0" w:color="auto"/>
                        <w:right w:val="none" w:sz="0" w:space="0" w:color="auto"/>
                      </w:divBdr>
                      <w:divsChild>
                        <w:div w:id="539512921">
                          <w:marLeft w:val="0"/>
                          <w:marRight w:val="0"/>
                          <w:marTop w:val="0"/>
                          <w:marBottom w:val="0"/>
                          <w:divBdr>
                            <w:top w:val="none" w:sz="0" w:space="0" w:color="auto"/>
                            <w:left w:val="none" w:sz="0" w:space="0" w:color="auto"/>
                            <w:bottom w:val="none" w:sz="0" w:space="0" w:color="auto"/>
                            <w:right w:val="none" w:sz="0" w:space="0" w:color="auto"/>
                          </w:divBdr>
                        </w:div>
                        <w:div w:id="255599708">
                          <w:marLeft w:val="0"/>
                          <w:marRight w:val="0"/>
                          <w:marTop w:val="0"/>
                          <w:marBottom w:val="0"/>
                          <w:divBdr>
                            <w:top w:val="none" w:sz="0" w:space="0" w:color="auto"/>
                            <w:left w:val="none" w:sz="0" w:space="0" w:color="auto"/>
                            <w:bottom w:val="none" w:sz="0" w:space="0" w:color="auto"/>
                            <w:right w:val="none" w:sz="0" w:space="0" w:color="auto"/>
                          </w:divBdr>
                        </w:div>
                        <w:div w:id="1703049955">
                          <w:marLeft w:val="0"/>
                          <w:marRight w:val="0"/>
                          <w:marTop w:val="0"/>
                          <w:marBottom w:val="0"/>
                          <w:divBdr>
                            <w:top w:val="none" w:sz="0" w:space="0" w:color="auto"/>
                            <w:left w:val="none" w:sz="0" w:space="0" w:color="auto"/>
                            <w:bottom w:val="none" w:sz="0" w:space="0" w:color="auto"/>
                            <w:right w:val="none" w:sz="0" w:space="0" w:color="auto"/>
                          </w:divBdr>
                        </w:div>
                      </w:divsChild>
                    </w:div>
                    <w:div w:id="1472862483">
                      <w:marLeft w:val="0"/>
                      <w:marRight w:val="0"/>
                      <w:marTop w:val="0"/>
                      <w:marBottom w:val="0"/>
                      <w:divBdr>
                        <w:top w:val="none" w:sz="0" w:space="0" w:color="auto"/>
                        <w:left w:val="none" w:sz="0" w:space="0" w:color="auto"/>
                        <w:bottom w:val="none" w:sz="0" w:space="0" w:color="auto"/>
                        <w:right w:val="none" w:sz="0" w:space="0" w:color="auto"/>
                      </w:divBdr>
                      <w:divsChild>
                        <w:div w:id="1557738919">
                          <w:marLeft w:val="0"/>
                          <w:marRight w:val="0"/>
                          <w:marTop w:val="0"/>
                          <w:marBottom w:val="0"/>
                          <w:divBdr>
                            <w:top w:val="none" w:sz="0" w:space="0" w:color="auto"/>
                            <w:left w:val="none" w:sz="0" w:space="0" w:color="auto"/>
                            <w:bottom w:val="none" w:sz="0" w:space="0" w:color="auto"/>
                            <w:right w:val="none" w:sz="0" w:space="0" w:color="auto"/>
                          </w:divBdr>
                        </w:div>
                        <w:div w:id="1292663078">
                          <w:marLeft w:val="0"/>
                          <w:marRight w:val="0"/>
                          <w:marTop w:val="0"/>
                          <w:marBottom w:val="0"/>
                          <w:divBdr>
                            <w:top w:val="none" w:sz="0" w:space="0" w:color="auto"/>
                            <w:left w:val="none" w:sz="0" w:space="0" w:color="auto"/>
                            <w:bottom w:val="none" w:sz="0" w:space="0" w:color="auto"/>
                            <w:right w:val="none" w:sz="0" w:space="0" w:color="auto"/>
                          </w:divBdr>
                        </w:div>
                      </w:divsChild>
                    </w:div>
                    <w:div w:id="1699623310">
                      <w:marLeft w:val="0"/>
                      <w:marRight w:val="0"/>
                      <w:marTop w:val="0"/>
                      <w:marBottom w:val="0"/>
                      <w:divBdr>
                        <w:top w:val="none" w:sz="0" w:space="0" w:color="auto"/>
                        <w:left w:val="none" w:sz="0" w:space="0" w:color="auto"/>
                        <w:bottom w:val="none" w:sz="0" w:space="0" w:color="auto"/>
                        <w:right w:val="none" w:sz="0" w:space="0" w:color="auto"/>
                      </w:divBdr>
                      <w:divsChild>
                        <w:div w:id="31734030">
                          <w:marLeft w:val="0"/>
                          <w:marRight w:val="0"/>
                          <w:marTop w:val="0"/>
                          <w:marBottom w:val="0"/>
                          <w:divBdr>
                            <w:top w:val="none" w:sz="0" w:space="0" w:color="auto"/>
                            <w:left w:val="none" w:sz="0" w:space="0" w:color="auto"/>
                            <w:bottom w:val="none" w:sz="0" w:space="0" w:color="auto"/>
                            <w:right w:val="none" w:sz="0" w:space="0" w:color="auto"/>
                          </w:divBdr>
                        </w:div>
                        <w:div w:id="1982423820">
                          <w:marLeft w:val="0"/>
                          <w:marRight w:val="0"/>
                          <w:marTop w:val="0"/>
                          <w:marBottom w:val="0"/>
                          <w:divBdr>
                            <w:top w:val="none" w:sz="0" w:space="0" w:color="auto"/>
                            <w:left w:val="none" w:sz="0" w:space="0" w:color="auto"/>
                            <w:bottom w:val="none" w:sz="0" w:space="0" w:color="auto"/>
                            <w:right w:val="none" w:sz="0" w:space="0" w:color="auto"/>
                          </w:divBdr>
                        </w:div>
                        <w:div w:id="1584145728">
                          <w:marLeft w:val="0"/>
                          <w:marRight w:val="0"/>
                          <w:marTop w:val="0"/>
                          <w:marBottom w:val="0"/>
                          <w:divBdr>
                            <w:top w:val="none" w:sz="0" w:space="0" w:color="auto"/>
                            <w:left w:val="none" w:sz="0" w:space="0" w:color="auto"/>
                            <w:bottom w:val="none" w:sz="0" w:space="0" w:color="auto"/>
                            <w:right w:val="none" w:sz="0" w:space="0" w:color="auto"/>
                          </w:divBdr>
                        </w:div>
                        <w:div w:id="303897087">
                          <w:marLeft w:val="0"/>
                          <w:marRight w:val="0"/>
                          <w:marTop w:val="0"/>
                          <w:marBottom w:val="0"/>
                          <w:divBdr>
                            <w:top w:val="none" w:sz="0" w:space="0" w:color="auto"/>
                            <w:left w:val="none" w:sz="0" w:space="0" w:color="auto"/>
                            <w:bottom w:val="none" w:sz="0" w:space="0" w:color="auto"/>
                            <w:right w:val="none" w:sz="0" w:space="0" w:color="auto"/>
                          </w:divBdr>
                        </w:div>
                      </w:divsChild>
                    </w:div>
                    <w:div w:id="942767589">
                      <w:marLeft w:val="0"/>
                      <w:marRight w:val="0"/>
                      <w:marTop w:val="0"/>
                      <w:marBottom w:val="0"/>
                      <w:divBdr>
                        <w:top w:val="none" w:sz="0" w:space="0" w:color="auto"/>
                        <w:left w:val="none" w:sz="0" w:space="0" w:color="auto"/>
                        <w:bottom w:val="none" w:sz="0" w:space="0" w:color="auto"/>
                        <w:right w:val="none" w:sz="0" w:space="0" w:color="auto"/>
                      </w:divBdr>
                    </w:div>
                    <w:div w:id="1518037162">
                      <w:marLeft w:val="0"/>
                      <w:marRight w:val="0"/>
                      <w:marTop w:val="0"/>
                      <w:marBottom w:val="0"/>
                      <w:divBdr>
                        <w:top w:val="none" w:sz="0" w:space="0" w:color="auto"/>
                        <w:left w:val="none" w:sz="0" w:space="0" w:color="auto"/>
                        <w:bottom w:val="none" w:sz="0" w:space="0" w:color="auto"/>
                        <w:right w:val="none" w:sz="0" w:space="0" w:color="auto"/>
                      </w:divBdr>
                    </w:div>
                    <w:div w:id="1613242993">
                      <w:marLeft w:val="0"/>
                      <w:marRight w:val="0"/>
                      <w:marTop w:val="0"/>
                      <w:marBottom w:val="0"/>
                      <w:divBdr>
                        <w:top w:val="none" w:sz="0" w:space="0" w:color="auto"/>
                        <w:left w:val="none" w:sz="0" w:space="0" w:color="auto"/>
                        <w:bottom w:val="none" w:sz="0" w:space="0" w:color="auto"/>
                        <w:right w:val="none" w:sz="0" w:space="0" w:color="auto"/>
                      </w:divBdr>
                      <w:divsChild>
                        <w:div w:id="1899393385">
                          <w:marLeft w:val="0"/>
                          <w:marRight w:val="0"/>
                          <w:marTop w:val="0"/>
                          <w:marBottom w:val="0"/>
                          <w:divBdr>
                            <w:top w:val="none" w:sz="0" w:space="0" w:color="auto"/>
                            <w:left w:val="none" w:sz="0" w:space="0" w:color="auto"/>
                            <w:bottom w:val="none" w:sz="0" w:space="0" w:color="auto"/>
                            <w:right w:val="none" w:sz="0" w:space="0" w:color="auto"/>
                          </w:divBdr>
                        </w:div>
                        <w:div w:id="1762292313">
                          <w:marLeft w:val="0"/>
                          <w:marRight w:val="0"/>
                          <w:marTop w:val="0"/>
                          <w:marBottom w:val="0"/>
                          <w:divBdr>
                            <w:top w:val="none" w:sz="0" w:space="0" w:color="auto"/>
                            <w:left w:val="none" w:sz="0" w:space="0" w:color="auto"/>
                            <w:bottom w:val="none" w:sz="0" w:space="0" w:color="auto"/>
                            <w:right w:val="none" w:sz="0" w:space="0" w:color="auto"/>
                          </w:divBdr>
                        </w:div>
                        <w:div w:id="1758019447">
                          <w:marLeft w:val="0"/>
                          <w:marRight w:val="0"/>
                          <w:marTop w:val="0"/>
                          <w:marBottom w:val="0"/>
                          <w:divBdr>
                            <w:top w:val="none" w:sz="0" w:space="0" w:color="auto"/>
                            <w:left w:val="none" w:sz="0" w:space="0" w:color="auto"/>
                            <w:bottom w:val="none" w:sz="0" w:space="0" w:color="auto"/>
                            <w:right w:val="none" w:sz="0" w:space="0" w:color="auto"/>
                          </w:divBdr>
                        </w:div>
                      </w:divsChild>
                    </w:div>
                    <w:div w:id="1836335373">
                      <w:marLeft w:val="0"/>
                      <w:marRight w:val="0"/>
                      <w:marTop w:val="0"/>
                      <w:marBottom w:val="0"/>
                      <w:divBdr>
                        <w:top w:val="none" w:sz="0" w:space="0" w:color="auto"/>
                        <w:left w:val="none" w:sz="0" w:space="0" w:color="auto"/>
                        <w:bottom w:val="none" w:sz="0" w:space="0" w:color="auto"/>
                        <w:right w:val="none" w:sz="0" w:space="0" w:color="auto"/>
                      </w:divBdr>
                      <w:divsChild>
                        <w:div w:id="1691637587">
                          <w:marLeft w:val="0"/>
                          <w:marRight w:val="0"/>
                          <w:marTop w:val="0"/>
                          <w:marBottom w:val="0"/>
                          <w:divBdr>
                            <w:top w:val="none" w:sz="0" w:space="0" w:color="auto"/>
                            <w:left w:val="none" w:sz="0" w:space="0" w:color="auto"/>
                            <w:bottom w:val="none" w:sz="0" w:space="0" w:color="auto"/>
                            <w:right w:val="none" w:sz="0" w:space="0" w:color="auto"/>
                          </w:divBdr>
                        </w:div>
                        <w:div w:id="554974732">
                          <w:marLeft w:val="0"/>
                          <w:marRight w:val="0"/>
                          <w:marTop w:val="0"/>
                          <w:marBottom w:val="0"/>
                          <w:divBdr>
                            <w:top w:val="none" w:sz="0" w:space="0" w:color="auto"/>
                            <w:left w:val="none" w:sz="0" w:space="0" w:color="auto"/>
                            <w:bottom w:val="none" w:sz="0" w:space="0" w:color="auto"/>
                            <w:right w:val="none" w:sz="0" w:space="0" w:color="auto"/>
                          </w:divBdr>
                        </w:div>
                      </w:divsChild>
                    </w:div>
                    <w:div w:id="765030311">
                      <w:marLeft w:val="0"/>
                      <w:marRight w:val="0"/>
                      <w:marTop w:val="0"/>
                      <w:marBottom w:val="0"/>
                      <w:divBdr>
                        <w:top w:val="none" w:sz="0" w:space="0" w:color="auto"/>
                        <w:left w:val="none" w:sz="0" w:space="0" w:color="auto"/>
                        <w:bottom w:val="none" w:sz="0" w:space="0" w:color="auto"/>
                        <w:right w:val="none" w:sz="0" w:space="0" w:color="auto"/>
                      </w:divBdr>
                    </w:div>
                    <w:div w:id="2014453437">
                      <w:marLeft w:val="0"/>
                      <w:marRight w:val="0"/>
                      <w:marTop w:val="0"/>
                      <w:marBottom w:val="0"/>
                      <w:divBdr>
                        <w:top w:val="none" w:sz="0" w:space="0" w:color="auto"/>
                        <w:left w:val="none" w:sz="0" w:space="0" w:color="auto"/>
                        <w:bottom w:val="none" w:sz="0" w:space="0" w:color="auto"/>
                        <w:right w:val="none" w:sz="0" w:space="0" w:color="auto"/>
                      </w:divBdr>
                    </w:div>
                    <w:div w:id="1332366627">
                      <w:marLeft w:val="0"/>
                      <w:marRight w:val="0"/>
                      <w:marTop w:val="0"/>
                      <w:marBottom w:val="0"/>
                      <w:divBdr>
                        <w:top w:val="none" w:sz="0" w:space="0" w:color="auto"/>
                        <w:left w:val="none" w:sz="0" w:space="0" w:color="auto"/>
                        <w:bottom w:val="none" w:sz="0" w:space="0" w:color="auto"/>
                        <w:right w:val="none" w:sz="0" w:space="0" w:color="auto"/>
                      </w:divBdr>
                    </w:div>
                    <w:div w:id="1177426620">
                      <w:marLeft w:val="0"/>
                      <w:marRight w:val="0"/>
                      <w:marTop w:val="0"/>
                      <w:marBottom w:val="0"/>
                      <w:divBdr>
                        <w:top w:val="none" w:sz="0" w:space="0" w:color="auto"/>
                        <w:left w:val="none" w:sz="0" w:space="0" w:color="auto"/>
                        <w:bottom w:val="none" w:sz="0" w:space="0" w:color="auto"/>
                        <w:right w:val="none" w:sz="0" w:space="0" w:color="auto"/>
                      </w:divBdr>
                    </w:div>
                    <w:div w:id="477187891">
                      <w:marLeft w:val="0"/>
                      <w:marRight w:val="0"/>
                      <w:marTop w:val="0"/>
                      <w:marBottom w:val="0"/>
                      <w:divBdr>
                        <w:top w:val="none" w:sz="0" w:space="0" w:color="auto"/>
                        <w:left w:val="none" w:sz="0" w:space="0" w:color="auto"/>
                        <w:bottom w:val="none" w:sz="0" w:space="0" w:color="auto"/>
                        <w:right w:val="none" w:sz="0" w:space="0" w:color="auto"/>
                      </w:divBdr>
                    </w:div>
                    <w:div w:id="1985968768">
                      <w:marLeft w:val="0"/>
                      <w:marRight w:val="0"/>
                      <w:marTop w:val="0"/>
                      <w:marBottom w:val="0"/>
                      <w:divBdr>
                        <w:top w:val="none" w:sz="0" w:space="0" w:color="auto"/>
                        <w:left w:val="none" w:sz="0" w:space="0" w:color="auto"/>
                        <w:bottom w:val="none" w:sz="0" w:space="0" w:color="auto"/>
                        <w:right w:val="none" w:sz="0" w:space="0" w:color="auto"/>
                      </w:divBdr>
                    </w:div>
                    <w:div w:id="8289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29-lipca-2005-r-o-przeciwdzialaniu-narkomanii/?on=2011-02-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wo.legeo.pl/prawo/ustawa-z-dnia-21-grudnia-1990-r-o-zawodzie-lekarza-weterynarii-i-izbach-lekarsko-weterynaryjnych/?on=2011-02-13" TargetMode="External"/><Relationship Id="rId12" Type="http://schemas.openxmlformats.org/officeDocument/2006/relationships/hyperlink" Target="http://prawo.legeo.pl/prawo/rozporzadzenie-ministra-zdrowia-z-dnia-11-wrzesnia-2006-r-w-sprawie-srodkow-odurzajacych-substancji-psychotropowych-prekursorow-kategorii-1-i-preparatow-zawierajacych-te-srodki-lub-substancje/zal1.pdf?on=2011-02-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wo.legeo.pl/prawo/ustawa-z-dnia-5-grudnia-1996-r-o-zawodzie-lekarza/?on=2011-02-13" TargetMode="External"/><Relationship Id="rId11" Type="http://schemas.openxmlformats.org/officeDocument/2006/relationships/hyperlink" Target="http://prawo.legeo.pl/prawo/rozporzadzenie-ministra-zdrowia-z-dnia-13-stycznia-2003-r-w-sprawie-warunkow-przechowywania-przez-apteki-srodkow-odurzajacych-substancji-psychotropowych-i-prekursorow-grupy-i-r-oraz-warunkow/?on=2011-02-13" TargetMode="External"/><Relationship Id="rId5" Type="http://schemas.openxmlformats.org/officeDocument/2006/relationships/hyperlink" Target="http://prawo.legeo.pl/prawo/ustawa-z-dnia-29-lipca-2005-r-o-przeciwdzialaniu-narkomanii/?on=2011-02-13" TargetMode="External"/><Relationship Id="rId10" Type="http://schemas.openxmlformats.org/officeDocument/2006/relationships/hyperlink" Target="http://prawo.legeo.pl/prawo/ustawa-z-dnia-6-wrzesnia-2001-r-prawo-farmaceutyczne/?on=2011-02-13" TargetMode="External"/><Relationship Id="rId4" Type="http://schemas.openxmlformats.org/officeDocument/2006/relationships/webSettings" Target="webSettings.xml"/><Relationship Id="rId9" Type="http://schemas.openxmlformats.org/officeDocument/2006/relationships/hyperlink" Target="http://prawo.legeo.pl/prawo/ustawa-z-dnia-5-grudnia-1996-r-o-zawodzie-lekarza/?on=2011-02-13"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13342</Characters>
  <Application>Microsoft Office Word</Application>
  <DocSecurity>0</DocSecurity>
  <Lines>111</Lines>
  <Paragraphs>31</Paragraphs>
  <ScaleCrop>false</ScaleCrop>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ai7</dc:creator>
  <cp:lastModifiedBy>ai7</cp:lastModifiedBy>
  <cp:revision>2</cp:revision>
  <dcterms:created xsi:type="dcterms:W3CDTF">2012-01-09T20:13:00Z</dcterms:created>
  <dcterms:modified xsi:type="dcterms:W3CDTF">2012-01-09T20:13:00Z</dcterms:modified>
</cp:coreProperties>
</file>